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19d5c2cd64c9a" /></Relationships>
</file>

<file path=word/document.xml><?xml version="1.0" encoding="utf-8"?>
<w:document xmlns:w="http://schemas.openxmlformats.org/wordprocessingml/2006/main">
  <w:body>
    <w:p>
      <w:r>
        <w:t>S-0094.2</w:t>
      </w:r>
    </w:p>
    <w:p>
      <w:pPr>
        <w:jc w:val="center"/>
      </w:pPr>
      <w:r>
        <w:t>_______________________________________________</w:t>
      </w:r>
    </w:p>
    <w:p/>
    <w:p>
      <w:pPr>
        <w:jc w:val="center"/>
      </w:pPr>
      <w:r>
        <w:rPr>
          <w:b/>
        </w:rPr>
        <w:t>SENATE BILL 5254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Palumbo, Zeiger, Angel, Hobbs, and Mullet</w:t>
      </w:r>
    </w:p>
    <w:p/>
    <w:p>
      <w:r>
        <w:rPr>
          <w:t xml:space="preserve">Read first time 01/18/17.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adequacy of buildable lands and zoning in urban growth areas and providing funding for low-income housing and homelessness programs; amending RCW 36.70A.115, 36.70A.215, 36.70A.070, 47.80.023, 36.70A.210, 43.62.035, 36.70A.110, 36.22.179, 82.46.037, 43.185C.030, 43.185C.040, 43.185C.160, 36.22.178, 36.22.1791, 43.185C.240, 43.21C.440, and 43.21C.229; adding a new section to chapter 43.185C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 </w:t>
      </w:r>
      <w:r>
        <w:rPr>
          <w:u w:val="single"/>
        </w:rPr>
        <w:t xml:space="preserve">Counties, and the cities within those counties, that are subject to the review and evaluation program of RCW 36.70A.215, shall also utilize the review and evaluation criteria set forth in RCW 36.70A.215(3) when conducting the land capacity analysis required by this section.</w:t>
      </w:r>
    </w:p>
    <w:p>
      <w:pPr>
        <w:spacing w:before="0" w:after="0" w:line="408" w:lineRule="exact"/>
        <w:ind w:left="0" w:right="0" w:firstLine="576"/>
        <w:jc w:val="left"/>
      </w:pPr>
      <w:r>
        <w:rPr>
          <w:u w:val="single"/>
        </w:rPr>
        <w:t xml:space="preserve">(2) This chapter does not prevent a county or city that is required to or chooses to plan under RCW 36.70A.040 from planning to accommodate more than its allocated housing and/or employment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(7)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rPr>
          <w:u w:val="single"/>
        </w:rPr>
        <w:t xml:space="preserve">, and this determination is required to include the following factors:</w:t>
      </w:r>
    </w:p>
    <w:p>
      <w:pPr>
        <w:spacing w:before="0" w:after="0" w:line="408" w:lineRule="exact"/>
        <w:ind w:left="0" w:right="0" w:firstLine="576"/>
        <w:jc w:val="left"/>
      </w:pPr>
      <w:r>
        <w:rPr>
          <w:u w:val="single"/>
        </w:rPr>
        <w:t xml:space="preserve">(i) Utilize a reasonable land market supply factor that reduces the amount of land suitable to accommodate new development, which reasonable land market supply factor must include an assessment of the willingness of existing landowners to develop, redevelop, or sell their property for development or redevelopment, including but not limited to both consumption demand (i.e., satisfying the housing market demand for development and redevelopment parcels) and the reductions that occur due to speculative demand (i.e., the demand driven by owners' decisions to hold property for potential higher future returns). However, if a percentage factor for speculative demand cannot be calculated based on local data, then a factor of fifty percent must be used;</w:t>
      </w:r>
    </w:p>
    <w:p>
      <w:pPr>
        <w:spacing w:before="0" w:after="0" w:line="408" w:lineRule="exact"/>
        <w:ind w:left="0" w:right="0" w:firstLine="576"/>
        <w:jc w:val="left"/>
      </w:pPr>
      <w:r>
        <w:rPr>
          <w:u w:val="single"/>
        </w:rPr>
        <w:t xml:space="preserve">(ii) When determining a redevelopment threshold (i.e., a ratio of existing improvement value to land value), adjust that threshold to recognize that even with an identical redevelopment threshold ratio, smaller lots and lots in less expensive areas are less likely to redevelop than larger lots and lots in more expensive areas;</w:t>
      </w:r>
    </w:p>
    <w:p>
      <w:pPr>
        <w:spacing w:before="0" w:after="0" w:line="408" w:lineRule="exact"/>
        <w:ind w:left="0" w:right="0" w:firstLine="576"/>
        <w:jc w:val="left"/>
      </w:pPr>
      <w:r>
        <w:rPr>
          <w:u w:val="single"/>
        </w:rPr>
        <w:t xml:space="preserve">(iii) When determining a redevelopment threshold, adjust that threshold to recognize a percentage of land available for redevelopment will be redeveloped in its entirety, whereas another percentage will retain an existing improvement, with additional development added to only a portion of the site;</w:t>
      </w:r>
    </w:p>
    <w:p>
      <w:pPr>
        <w:spacing w:before="0" w:after="0" w:line="408" w:lineRule="exact"/>
        <w:ind w:left="0" w:right="0" w:firstLine="576"/>
        <w:jc w:val="left"/>
      </w:pPr>
      <w:r>
        <w:rPr>
          <w:u w:val="single"/>
        </w:rPr>
        <w:t xml:space="preserve">(iv) Utilize adjustments that incorporate the likelihood that redevelopment will not occur if the costs to redevelop will exceed the likely profit to be made;</w:t>
      </w:r>
    </w:p>
    <w:p>
      <w:pPr>
        <w:spacing w:before="0" w:after="0" w:line="408" w:lineRule="exact"/>
        <w:ind w:left="0" w:right="0" w:firstLine="576"/>
        <w:jc w:val="left"/>
      </w:pPr>
      <w:r>
        <w:rPr>
          <w:u w:val="single"/>
        </w:rPr>
        <w:t xml:space="preserve">(v) Utilize adjustments that evaluate the adequacy of infrastructure currently available to serve property, including but not limited to transportation, water, sewer, and stormwater, and the cost to provide new or upgraded infrastructure if required to serve redevelopment;</w:t>
      </w:r>
    </w:p>
    <w:p>
      <w:pPr>
        <w:spacing w:before="0" w:after="0" w:line="408" w:lineRule="exact"/>
        <w:ind w:left="0" w:right="0" w:firstLine="576"/>
        <w:jc w:val="left"/>
      </w:pPr>
      <w:r>
        <w:rPr>
          <w:u w:val="single"/>
        </w:rPr>
        <w:t xml:space="preserve">(vi) Utilize adjustments for the types of housing and commercial development that may drive development patterns that are different than the initial analysis concludes, including variations in type of development and variations in migration patterns, and household size and income, and market demand for different types of housing, including detached, attached low-rise, attached mid-rise, and attached high-rise housing; and</w:t>
      </w:r>
    </w:p>
    <w:p>
      <w:pPr>
        <w:spacing w:before="0" w:after="0" w:line="408" w:lineRule="exact"/>
        <w:ind w:left="0" w:right="0" w:firstLine="576"/>
        <w:jc w:val="left"/>
      </w:pPr>
      <w:r>
        <w:rPr>
          <w:u w:val="single"/>
        </w:rPr>
        <w:t xml:space="preserve">(vii) Utilize adjustments that address physical factors of certain properties which, while not protected critical areas, still limit desirability or the profitability of land for development or redevelopment</w:t>
      </w:r>
      <w:r>
        <w:rPr/>
        <w:t xml:space="preserve">;</w:t>
      </w:r>
    </w:p>
    <w:p>
      <w:pPr>
        <w:spacing w:before="0" w:after="0" w:line="408" w:lineRule="exact"/>
        <w:ind w:left="0" w:right="0" w:firstLine="576"/>
        <w:jc w:val="left"/>
      </w:pPr>
      <w:r>
        <w:rPr/>
        <w:t xml:space="preserve">(b)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w:t>
      </w:r>
      <w:r>
        <w:t>((</w:t>
      </w:r>
      <w:r>
        <w:rPr>
          <w:strike/>
        </w:rPr>
        <w:t xml:space="preserve">(a)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r>
        <w:t>))</w:t>
      </w:r>
      <w:r>
        <w:rPr/>
        <w:t xml:space="preserve"> </w:t>
      </w:r>
      <w:r>
        <w:rPr>
          <w:u w:val="single"/>
        </w:rPr>
        <w:t xml:space="preserve">Counties and cities required to complete the review and evaluation process in subsection (3) of this section shall, at the request of school districts or port districts, also complete an evaluation to determine the adequacy of land within urban growth areas suitable for (a) new or expanded public schools; and (b) industrial uses by port districts. The methodology for this review shall be developed pursuant to subsection (8) of this section.</w:t>
      </w:r>
    </w:p>
    <w:p>
      <w:pPr>
        <w:spacing w:before="0" w:after="0" w:line="408" w:lineRule="exact"/>
        <w:ind w:left="0" w:right="0" w:firstLine="576"/>
        <w:jc w:val="left"/>
      </w:pPr>
      <w:r>
        <w:rPr/>
        <w:t xml:space="preserve">(6) From funds appropriated by the legislature </w:t>
      </w:r>
      <w:r>
        <w:rPr>
          <w:u w:val="single"/>
        </w:rPr>
        <w:t xml:space="preserve">for the 2017-2019 fiscal biennium</w:t>
      </w:r>
      <w:r>
        <w:rPr/>
        <w:t xml:space="preserve"> for this purpose, the department shall provide grants to counties, cities, and regional planning organizations required under subsection (7) of this section to conduct the review and perform the evaluation required by this section. </w:t>
      </w:r>
      <w:r>
        <w:rPr>
          <w:u w:val="single"/>
        </w:rPr>
        <w:t xml:space="preserve">This review must be completed by June 30, 2018.</w:t>
      </w:r>
    </w:p>
    <w:p>
      <w:pPr>
        <w:spacing w:before="0" w:after="0" w:line="408" w:lineRule="exact"/>
        <w:ind w:left="0" w:right="0" w:firstLine="576"/>
        <w:jc w:val="left"/>
      </w:pPr>
      <w:r>
        <w:rPr/>
        <w:t xml:space="preserve">(7) The provisions of this section shall apply to counties, and the cities within those counties, that were greater than one hundred fifty thousand in population in 1995 as determined by office of financial management population estimates and that are located west of the crest of the Cascade mountain range</w:t>
      </w:r>
      <w:r>
        <w:rPr>
          <w:u w:val="single"/>
        </w:rPr>
        <w:t xml:space="preserve">, and to counties and cities within those counties located east of the crest of the Cascade mountain range that were greater than one hundred seventy-five thousand in population in 2015 as determined by the office of financial management population estimates</w:t>
      </w:r>
      <w:r>
        <w:rPr/>
        <w:t xml:space="preserv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(8) The department of commerce, through a contract with the urban land institute, shall develop guidance for local governments on the evaluation program in subsections (3) and (5) of this section. The department of commerce shall enable appropriate public participation by affected stakeholders in the development of the guidance. This guidance must be completed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u w:val="single"/>
        </w:rPr>
        <w:t xml:space="preserve">(i) After July 1, 2019, counties and cities subject to this section must conduct a housing supply and affordability review and amend comprehensive plans and development regulations to encourage increased supply of residential housing whenever the following population and housing market conditions occur:</w:t>
      </w:r>
    </w:p>
    <w:p>
      <w:pPr>
        <w:spacing w:before="0" w:after="0" w:line="408" w:lineRule="exact"/>
        <w:ind w:left="0" w:right="0" w:firstLine="576"/>
        <w:jc w:val="left"/>
      </w:pPr>
      <w:r>
        <w:rPr>
          <w:u w:val="single"/>
        </w:rPr>
        <w:t xml:space="preserve">(A) The office of financial management's annual forecast shows that actual population within that county is higher than the office of financial management's twenty-year population forecast used by the county and cities in its current comprehensive plan; or</w:t>
      </w:r>
    </w:p>
    <w:p>
      <w:pPr>
        <w:spacing w:before="0" w:after="0" w:line="408" w:lineRule="exact"/>
        <w:ind w:left="0" w:right="0" w:firstLine="576"/>
        <w:jc w:val="left"/>
      </w:pPr>
      <w:r>
        <w:rPr>
          <w:u w:val="single"/>
        </w:rPr>
        <w:t xml:space="preserve">(B) The housing affordability index for that county is less than one hundred; and</w:t>
      </w:r>
    </w:p>
    <w:p>
      <w:pPr>
        <w:spacing w:before="0" w:after="0" w:line="408" w:lineRule="exact"/>
        <w:ind w:left="0" w:right="0" w:firstLine="576"/>
        <w:jc w:val="left"/>
      </w:pPr>
      <w:r>
        <w:rPr>
          <w:u w:val="single"/>
        </w:rPr>
        <w:t xml:space="preserve">(C) Less than four months of residential inventory is available within that county for two out of the last six quarters.</w:t>
      </w:r>
    </w:p>
    <w:p>
      <w:pPr>
        <w:spacing w:before="0" w:after="0" w:line="408" w:lineRule="exact"/>
        <w:ind w:left="0" w:right="0" w:firstLine="576"/>
        <w:jc w:val="left"/>
      </w:pPr>
      <w:r>
        <w:rPr>
          <w:u w:val="single"/>
        </w:rPr>
        <w:t xml:space="preserve">(ii) Counties and cities shall utilize data from the office of financial management for purposes of evaluating (d)(i) of this subsection.</w:t>
      </w:r>
    </w:p>
    <w:p>
      <w:pPr>
        <w:spacing w:before="0" w:after="0" w:line="408" w:lineRule="exact"/>
        <w:ind w:left="0" w:right="0" w:firstLine="576"/>
        <w:jc w:val="left"/>
      </w:pPr>
      <w:r>
        <w:rPr>
          <w:u w:val="single"/>
        </w:rPr>
        <w:t xml:space="preserve">(iii) The housing supply and affordability review must, at a minimum, either increase the capacity for residential development to accommodate the office of financial management's high population estimate under RCW 43.62.035; or provide an analysis demonstrating how that jurisdiction's inventory, affordability, or excess growth can be addressed through other strategies.</w:t>
      </w:r>
    </w:p>
    <w:p>
      <w:pPr>
        <w:spacing w:before="0" w:after="0" w:line="408" w:lineRule="exact"/>
        <w:ind w:left="0" w:right="0" w:firstLine="576"/>
        <w:jc w:val="left"/>
      </w:pPr>
      <w:r>
        <w:rPr>
          <w:u w:val="single"/>
        </w:rPr>
        <w:t xml:space="preserve">(iv) Counties and cities are required to initiate adoption of a housing supply and affordability review within three months of meeting the criteria in (d)(i) of this subsection, and shall complete adoption within one hundred eighty days. However, no local government is required to implement this process more than twice during the eight-year period between the mandatory comprehensive plan update deadlines in RCW 36.70A.130(5).</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023</w:t>
      </w:r>
      <w:r>
        <w:rPr/>
        <w:t xml:space="preserve"> and 2009 c 515 s 15 are each amended to read as follows:</w:t>
      </w:r>
    </w:p>
    <w:p>
      <w:pPr>
        <w:spacing w:before="0" w:after="0" w:line="408" w:lineRule="exact"/>
        <w:ind w:left="0" w:right="0" w:firstLine="576"/>
        <w:jc w:val="left"/>
      </w:pPr>
      <w:r>
        <w:rPr/>
        <w:t xml:space="preserve">Each regional transportation planning organization shall have the following duties:</w:t>
      </w:r>
    </w:p>
    <w:p>
      <w:pPr>
        <w:spacing w:before="0" w:after="0" w:line="408" w:lineRule="exact"/>
        <w:ind w:left="0" w:right="0" w:firstLine="576"/>
        <w:jc w:val="left"/>
      </w:pPr>
      <w:r>
        <w:rPr/>
        <w:t xml:space="preserve">(1) Prepare and periodically update a transportation strategy for the region. The strategy shall address alternative transportation modes and transportation demand management measures in regional corridors and shall recommend preferred transportation policies to implement adopted growth strategies. The strategy shall serve as a guide in preparation of the regional transportation plan. </w:t>
      </w:r>
      <w:r>
        <w:rPr>
          <w:u w:val="single"/>
        </w:rPr>
        <w:t xml:space="preserve">However, no transportation or growth strategy may include or adopt a maximum population, household, employment and/or job growth target applicable to a regional transportation planning organization's member county, city, or town comprehensive plan adopted pursuant to chapter 36.70A RCW. Such a maximum target, whether adopted prior or subsequent to the effective date of this section, is unenforceable.</w:t>
      </w:r>
    </w:p>
    <w:p>
      <w:pPr>
        <w:spacing w:before="0" w:after="0" w:line="408" w:lineRule="exact"/>
        <w:ind w:left="0" w:right="0" w:firstLine="576"/>
        <w:jc w:val="left"/>
      </w:pPr>
      <w:r>
        <w:rPr/>
        <w:t xml:space="preserve">(2) Prepare a regional transportation plan as set forth in RCW 47.80.030 that is consistent with countywide planning policies if such have been adopted pursuant to chapter 36.70A RCW, with county, city, and town comprehensive plans, and state transportation plans.</w:t>
      </w:r>
    </w:p>
    <w:p>
      <w:pPr>
        <w:spacing w:before="0" w:after="0" w:line="408" w:lineRule="exact"/>
        <w:ind w:left="0" w:right="0" w:firstLine="576"/>
        <w:jc w:val="left"/>
      </w:pPr>
      <w:r>
        <w:rPr/>
        <w:t xml:space="preserve">(3) Certify by December 31, 1996, that the transportation elements of comprehensive plans adopted by counties, cities, and towns within the region reflect the guidelines and principles developed pursuant to RCW 47.80.026, are consistent with the adopted regional transportation plan, and, where appropriate, conform with the requirements of RCW 36.70A.070. </w:t>
      </w:r>
      <w:r>
        <w:rPr>
          <w:u w:val="single"/>
        </w:rPr>
        <w:t xml:space="preserve">In the exercise of its duties, a regional transportation planning organization has no authority to reject, disapprove, or condition or otherwise limit its approval of a local government growth management comprehensive plan or element thereof based on the local government's planning for population, household, job and/or employment growth levels within a designated urban growth area in excess of the population, household, job and/or employment targets allocated to the local government pursuant to chapter 36.70A RCW. Such a rejection, disapproval, or conditional approval, whether adopted prior or subsequent to the effective date of this section, is unenforceable.</w:t>
      </w:r>
    </w:p>
    <w:p>
      <w:pPr>
        <w:spacing w:before="0" w:after="0" w:line="408" w:lineRule="exact"/>
        <w:ind w:left="0" w:right="0" w:firstLine="576"/>
        <w:jc w:val="left"/>
      </w:pPr>
      <w:r>
        <w:rPr/>
        <w:t xml:space="preserve">(4) Where appropriate, certify that countywide planning policies adopted under RCW 36.70A.210 and the adopted regional transportation plan are consistent.</w:t>
      </w:r>
    </w:p>
    <w:p>
      <w:pPr>
        <w:spacing w:before="0" w:after="0" w:line="408" w:lineRule="exact"/>
        <w:ind w:left="0" w:right="0" w:firstLine="576"/>
        <w:jc w:val="left"/>
      </w:pPr>
      <w:r>
        <w:rPr/>
        <w:t xml:space="preserve">(5) Develop, in cooperation with the department of transportation, operators of public transportation services and local governments within the region, a six-year regional transportation improvement program which proposes regionally significant transportation projects and programs and transportation demand management measures. The regional transportation improvement program shall be based on the programs, projects, and transportation demand management measures of regional significance as identified by transit agencies, cities, and counties pursuant to RCW 35.58.2795, 35.77.010, and 36.81.121, respectively, and any recommended programs or projects identified by the agency council on coordinated transportation, as provided in chapter 47.06B RCW, that advance special needs coordinated transportation as defined in RCW 47.06B.012. The program shall include a priority list of projects and programs, project segments and programs, transportation demand management measures, and a specific financial plan that demonstrates how the transportation improvement program can be funded. The program shall be updated at least every two years for the ensuing six-year period.</w:t>
      </w:r>
    </w:p>
    <w:p>
      <w:pPr>
        <w:spacing w:before="0" w:after="0" w:line="408" w:lineRule="exact"/>
        <w:ind w:left="0" w:right="0" w:firstLine="576"/>
        <w:jc w:val="left"/>
      </w:pPr>
      <w:r>
        <w:rPr/>
        <w:t xml:space="preserve">(6) Include specific opportunities and projects to advance special needs coordinated transportation, as defined in RCW 47.06B.012, in the coordinated transit-human services transportation plan, after providing opportunity for public comment.</w:t>
      </w:r>
    </w:p>
    <w:p>
      <w:pPr>
        <w:spacing w:before="0" w:after="0" w:line="408" w:lineRule="exact"/>
        <w:ind w:left="0" w:right="0" w:firstLine="576"/>
        <w:jc w:val="left"/>
      </w:pPr>
      <w:r>
        <w:rPr/>
        <w:t xml:space="preserve">(7) Designate a lead planning agency to coordinate preparation of the regional transportation plan and carry out the other responsibilities of the organization. The lead planning agency may be a regional organization, a component county, city, or town agency, or the appropriate Washington state department of transportation district office.</w:t>
      </w:r>
    </w:p>
    <w:p>
      <w:pPr>
        <w:spacing w:before="0" w:after="0" w:line="408" w:lineRule="exact"/>
        <w:ind w:left="0" w:right="0" w:firstLine="576"/>
        <w:jc w:val="left"/>
      </w:pPr>
      <w:r>
        <w:rPr/>
        <w:t xml:space="preserve">(8) Review level of service methodologies used by cities and counties planning under chapter 36.70A RCW to promote a consistent regional evaluation of transportation facilities and corridors.</w:t>
      </w:r>
    </w:p>
    <w:p>
      <w:pPr>
        <w:spacing w:before="0" w:after="0" w:line="408" w:lineRule="exact"/>
        <w:ind w:left="0" w:right="0" w:firstLine="576"/>
        <w:jc w:val="left"/>
      </w:pPr>
      <w:r>
        <w:rPr/>
        <w:t xml:space="preserve">(9) Work with cities, counties, transit agencies, the department of transportation, and others to develop level of service standards or alternative transportation performance measures.</w:t>
      </w:r>
    </w:p>
    <w:p>
      <w:pPr>
        <w:spacing w:before="0" w:after="0" w:line="408" w:lineRule="exact"/>
        <w:ind w:left="0" w:right="0" w:firstLine="576"/>
        <w:jc w:val="left"/>
      </w:pPr>
      <w:r>
        <w:rPr/>
        <w:t xml:space="preserve">(10) Submit to the agency council on coordinated transportation</w:t>
      </w:r>
      <w:r>
        <w:t>((</w:t>
      </w:r>
      <w:r>
        <w:rPr>
          <w:strike/>
        </w:rPr>
        <w:t xml:space="preserve">, as provided in chapter 47.06B RCW,</w:t>
      </w:r>
      <w:r>
        <w:t>))</w:t>
      </w:r>
      <w:r>
        <w:rPr/>
        <w:t xml:space="preserve"> beginning on July 1, 2007, and every four years thereafter, an updated plan that includes the elements identified by the council. Each regional transportation planning organization must submit to the council every two years a prioritized regional human service and transportation project list.</w:t>
      </w:r>
    </w:p>
    <w:p>
      <w:pPr>
        <w:spacing w:before="0" w:after="0" w:line="408" w:lineRule="exact"/>
        <w:ind w:left="0" w:right="0" w:firstLine="576"/>
        <w:jc w:val="left"/>
      </w:pPr>
      <w:r>
        <w:rPr>
          <w:u w:val="single"/>
        </w:rPr>
        <w:t xml:space="preserve">(11) In the exercise of its duties and/or in the adoption of any plan, guideline, principle, or strategy under the authority of this chapter, a regional transportation planning organization has no authority to adopt or determine maximum population, household, employment and/or job growth targets applicable to the regional transportation planning organization's member counties', cities', or towns' comprehensive plans adopted pursuant to chapter 36.70A RCW.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A process and schedule providing for consideration no more frequently than once every year of updates, amendments, or revisions of the countywide planning policy proposed by the county or any city or town within the county</w:t>
      </w:r>
      <w:r>
        <w:rPr/>
        <w:t xml:space="preserve">.</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w:t>
      </w:r>
      <w:r>
        <w:rPr>
          <w:u w:val="single"/>
        </w:rPr>
        <w:t xml:space="preserve">or the denial of a proposed update, revision, or amendment</w:t>
      </w:r>
      <w:r>
        <w:rPr/>
        <w:t xml:space="preserve">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0" w:after="0" w:line="408" w:lineRule="exact"/>
        <w:ind w:left="0" w:right="0" w:firstLine="576"/>
        <w:jc w:val="left"/>
      </w:pPr>
      <w:r>
        <w:rPr>
          <w:u w:val="single"/>
        </w:rPr>
        <w:t xml:space="preserve">(8) No countywide or multicounty planning policy may adopt or include maximum population, household, job, or employment targets applicable to city or town growth management comprehensive plans, or otherwise prevent cities or towns from planning for population, household, job, and/or employment growth levels within a designated urban growth area in excess of the growth targets allocated to the local government pursuant to this chapter.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62</w:t>
      </w:r>
      <w:r>
        <w:rPr/>
        <w:t xml:space="preserve">.</w:t>
      </w:r>
      <w:r>
        <w:t xml:space="preserve">035</w:t>
      </w:r>
      <w:r>
        <w:rPr/>
        <w:t xml:space="preserve"> and 1997 c 429 s 26 are each amended to read as follows:</w:t>
      </w:r>
    </w:p>
    <w:p>
      <w:pPr>
        <w:spacing w:before="0" w:after="0" w:line="408" w:lineRule="exact"/>
        <w:ind w:left="0" w:right="0" w:firstLine="576"/>
        <w:jc w:val="left"/>
      </w:pPr>
      <w:r>
        <w:rPr>
          <w:u w:val="single"/>
        </w:rPr>
        <w:t xml:space="preserve">(1)</w:t>
      </w:r>
      <w:r>
        <w:rPr/>
        <w:t xml:space="preserve"> The office of financial management shall determine the population of each county of the state annually as of April 1st of each year and on or before July 1st of each year shall file a certificate with the secretary of state showing its determination of the population for each county. The office of financial management also shall determine the percentage increase in population for each county over the preceding ten-year period, as of April 1st, and shall file a certificate with the secretary of state by July 1st showing its determination. </w:t>
      </w:r>
      <w:r>
        <w:t>((</w:t>
      </w:r>
      <w:r>
        <w:rPr>
          <w:strike/>
        </w:rPr>
        <w:t xml:space="preserve">At least once every five years or upon the availability of decennial census data, whichever is later,</w:t>
      </w:r>
      <w:r>
        <w:t>))</w:t>
      </w:r>
      <w:r>
        <w:rPr/>
        <w:t xml:space="preserve"> </w:t>
      </w:r>
      <w:r>
        <w:rPr>
          <w:u w:val="single"/>
        </w:rPr>
        <w:t xml:space="preserve">In the year prior to the year during which counties and cities within those counties are required to review, and if needed, revise comprehensive plans under RCW 36.70A.130(5)</w:t>
      </w:r>
      <w:r>
        <w:rPr/>
        <w:t xml:space="preserve"> the office of financial management shall prepare twenty-year growth management planning population projections required by RCW 36.70A.110 for each county that adopts a comprehensive plan under RCW 36.70A.040 and shall review these projections with such counties and the cities in those counties before final adoption. The county and its cities may provide to the office such information as they deem relevant to the office's projection, and the office shall consider and comment on such information before adoption.</w:t>
      </w:r>
    </w:p>
    <w:p>
      <w:pPr>
        <w:spacing w:before="0" w:after="0" w:line="408" w:lineRule="exact"/>
        <w:ind w:left="0" w:right="0" w:firstLine="576"/>
        <w:jc w:val="left"/>
      </w:pPr>
      <w:r>
        <w:rPr>
          <w:u w:val="single"/>
        </w:rPr>
        <w:t xml:space="preserve">(2)</w:t>
      </w:r>
      <w:r>
        <w:rPr/>
        <w:t xml:space="preserve"> Each projection shall be expressed as a reasonable range developed within the standard state high and low projection. The middle range shall represent the office's estimate of the most likely population projection for the county. If any city or county believes that a projection will not accurately reflect actual population growth in a county, it may petition the office to revise the projection accordingly. The office shall complete the first set of ranges for every county by December 31, 1995.</w:t>
      </w:r>
    </w:p>
    <w:p>
      <w:pPr>
        <w:spacing w:before="0" w:after="0" w:line="408" w:lineRule="exact"/>
        <w:ind w:left="0" w:right="0" w:firstLine="576"/>
        <w:jc w:val="left"/>
      </w:pPr>
      <w:r>
        <w:rPr>
          <w:u w:val="single"/>
        </w:rPr>
        <w:t xml:space="preserve">(3)</w:t>
      </w:r>
      <w:r>
        <w:rPr/>
        <w:t xml:space="preserve"> A comprehensive plan adopted or amended before December 31, 1995, shall not be considered to be in noncompliance with the twenty-year growth management planning population projection if the projection used in the comprehensive plan is in compliance with the range later adopted under this section.</w:t>
      </w:r>
    </w:p>
    <w:p>
      <w:pPr>
        <w:spacing w:before="0" w:after="0" w:line="408" w:lineRule="exact"/>
        <w:ind w:left="0" w:right="0" w:firstLine="576"/>
        <w:jc w:val="left"/>
      </w:pPr>
      <w:r>
        <w:rPr>
          <w:u w:val="single"/>
        </w:rPr>
        <w:t xml:space="preserve">(4) In its annual population trends report, the office of financial management shall include information for each county and city relating to: (a) The actual population growth within each county and city; (b) a comparison of job growth and housing growth; (c) whether the population growth is more or less than the population estimate used by the county in its most recent comprehensive plan; (d) data on housing supply, including new single-family and multifamily construction, and permitted but not yet constructed housing units; (e) the housing affordability index for that county; and (f) the residential housing inventory for that county, expressed in months of inventory. The office of financial management shall use information from the Runstad center for real estate studies at the University of Washington, or a comparable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 </w:t>
      </w:r>
      <w:r>
        <w:rPr>
          <w:u w:val="single"/>
        </w:rPr>
        <w:t xml:space="preserve">In addition to including areas and densities sufficient for urban growth in the county or city for the succeeding twenty-year period, each city and county for which actual population growth exceeded planned growth during the prior year shall include additional areas or densities capable of accommodating the amount of actual residential growth that exceeded planned growth in the prior year.</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2027</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w:t>
      </w:r>
      <w:r>
        <w:t>((</w:t>
      </w:r>
      <w:r>
        <w:rPr>
          <w:strike/>
        </w:rPr>
        <w:t xml:space="preserve">documents recording a birth, marriage, divorce, or death, (c)</w:t>
      </w:r>
      <w:r>
        <w:t>))</w:t>
      </w:r>
      <w:r>
        <w:rPr/>
        <w:t xml:space="preserve"> any recorded documents otherwise exempted from a recording fee or additional surcharges under state law, </w:t>
      </w:r>
      <w:r>
        <w:t>((</w:t>
      </w:r>
      <w:r>
        <w:rPr>
          <w:strike/>
        </w:rPr>
        <w:t xml:space="preserve">(d)</w:t>
      </w:r>
      <w:r>
        <w:t>))</w:t>
      </w:r>
      <w:r>
        <w:rPr/>
        <w:t xml:space="preserve"> </w:t>
      </w:r>
      <w:r>
        <w:rPr>
          <w:u w:val="single"/>
        </w:rPr>
        <w:t xml:space="preserve">(c)</w:t>
      </w:r>
      <w:r>
        <w:rPr/>
        <w:t xml:space="preserve"> marriage licenses issued by the county auditor, or </w:t>
      </w:r>
      <w:r>
        <w:t>((</w:t>
      </w:r>
      <w:r>
        <w:rPr>
          <w:strike/>
        </w:rPr>
        <w:t xml:space="preserve">(e)</w:t>
      </w:r>
      <w:r>
        <w:t>))</w:t>
      </w:r>
      <w:r>
        <w:rPr/>
        <w:t xml:space="preserve"> </w:t>
      </w:r>
      <w:r>
        <w:rPr>
          <w:u w:val="single"/>
        </w:rPr>
        <w:t xml:space="preserve">(d)</w:t>
      </w:r>
      <w:r>
        <w:rPr/>
        <w:t xml:space="preserv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"Multifamily dwelling" means a building consisting of more than one dwelling unit, as further defined by the governing authority.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(9)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18(1)(e) of this act.</w:t>
      </w:r>
    </w:p>
    <w:p>
      <w:pPr>
        <w:spacing w:before="0" w:after="0" w:line="408" w:lineRule="exact"/>
        <w:ind w:left="0" w:right="0" w:firstLine="576"/>
        <w:jc w:val="left"/>
      </w:pPr>
      <w:r>
        <w:rPr/>
        <w:t xml:space="preserve">(10)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(11) "Single-family dwelling unit" means an individual detached dwelling, as further defined by the governing authority.</w:t>
      </w:r>
    </w:p>
    <w:p>
      <w:pPr>
        <w:spacing w:before="0" w:after="0" w:line="408" w:lineRule="exact"/>
        <w:ind w:left="0" w:right="0" w:firstLine="576"/>
        <w:jc w:val="left"/>
      </w:pPr>
      <w:r>
        <w:rPr/>
        <w:t xml:space="preserve">(12)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21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14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health and quality standards for up to two years if the owner of the property submits a rehabilitation plan to comply with health and quality standards. The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14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19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14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17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two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14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14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 and</w:t>
      </w:r>
    </w:p>
    <w:p>
      <w:pPr>
        <w:spacing w:before="0" w:after="0" w:line="408" w:lineRule="exact"/>
        <w:ind w:left="0" w:right="0" w:firstLine="576"/>
        <w:jc w:val="left"/>
      </w:pPr>
      <w:r>
        <w:rPr>
          <w:u w:val="single"/>
        </w:rPr>
        <w:t xml:space="preserve">(j)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2018, and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2017</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32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 </w:t>
      </w:r>
      <w:r>
        <w:t>((</w:t>
      </w:r>
      <w:r>
        <w:rPr>
          <w:strike/>
        </w:rPr>
        <w:t xml:space="preserve">in</w:t>
      </w:r>
      <w:r>
        <w:t>))</w:t>
      </w:r>
      <w:r>
        <w:rPr>
          <w:u w:val="single"/>
        </w:rPr>
        <w:t xml:space="preserve">:</w:t>
      </w:r>
    </w:p>
    <w:p>
      <w:pPr>
        <w:spacing w:before="0" w:after="0" w:line="408" w:lineRule="exact"/>
        <w:ind w:left="0" w:right="0" w:firstLine="576"/>
        <w:jc w:val="left"/>
      </w:pPr>
      <w:r>
        <w:rPr>
          <w:u w:val="single"/>
        </w:rPr>
        <w:t xml:space="preserve">(i) In</w:t>
      </w:r>
      <w:r>
        <w:rPr/>
        <w:t xml:space="preserve">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u w:val="single"/>
        </w:rPr>
        <w:t xml:space="preserve">; or</w:t>
      </w:r>
    </w:p>
    <w:p>
      <w:pPr>
        <w:spacing w:before="0" w:after="0" w:line="408" w:lineRule="exact"/>
        <w:ind w:left="0" w:right="0" w:firstLine="576"/>
        <w:jc w:val="left"/>
      </w:pPr>
      <w:r>
        <w:rPr>
          <w:u w:val="single"/>
        </w:rPr>
        <w:t xml:space="preserve">(ii) For planned actions in areas that contain or will contain a major transit stop as defined in RCW 43.21C.420(3), in a threshold determination or, where one is appropriate, in an environmental impact statement under the requirements of this chapter</w:t>
      </w:r>
      <w:r>
        <w:rPr/>
        <w:t xml:space="preserve">;</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(1)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w:t>
      </w:r>
      <w:r>
        <w:t>((</w:t>
      </w:r>
      <w:r>
        <w:rPr>
          <w:strike/>
        </w:rPr>
        <w:t xml:space="preserve">through an environmental impact statement</w:t>
      </w:r>
      <w:r>
        <w:t>))</w:t>
      </w:r>
      <w:r>
        <w:rPr/>
        <w:t xml:space="preserve"> under the requirements of this chapter prior to adoption; or</w:t>
      </w:r>
    </w:p>
    <w:p>
      <w:pPr>
        <w:spacing w:before="0" w:after="0" w:line="408" w:lineRule="exact"/>
        <w:ind w:left="0" w:right="0" w:firstLine="576"/>
        <w:jc w:val="left"/>
      </w:pPr>
      <w:r>
        <w:rPr/>
        <w:t xml:space="preserve">(ii) The city or county has </w:t>
      </w:r>
      <w:r>
        <w:t>((</w:t>
      </w:r>
      <w:r>
        <w:rPr>
          <w:strike/>
        </w:rPr>
        <w:t xml:space="preserve">prepared an environmental impact statement that considers</w:t>
      </w:r>
      <w:r>
        <w:t>))</w:t>
      </w:r>
      <w:r>
        <w:rPr>
          <w:u w:val="single"/>
        </w:rPr>
        <w:t xml:space="preserve">, in the course of environmental analysis under the requirements of this chapter, considered</w:t>
      </w:r>
      <w:r>
        <w:rPr/>
        <w:t xml:space="preserve">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(3) For purposes of subsection 1(d) of this section, an environmental impact statement is the required form of environmental analysis under the requirements of this chapter unless the infill development area contains or will contain a major transit stop as defined in RCW 43.21C.420(3).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27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1bb291fe7c374c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429fc6ba0548d0" /><Relationship Type="http://schemas.openxmlformats.org/officeDocument/2006/relationships/footer" Target="/word/footer.xml" Id="R1bb291fe7c374cd5" /></Relationships>
</file>