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b3f9910dd84a86" /></Relationships>
</file>

<file path=word/document.xml><?xml version="1.0" encoding="utf-8"?>
<w:document xmlns:w="http://schemas.openxmlformats.org/wordprocessingml/2006/main">
  <w:body>
    <w:p>
      <w:r>
        <w:t>S-0358.1</w:t>
      </w:r>
    </w:p>
    <w:p>
      <w:pPr>
        <w:jc w:val="center"/>
      </w:pPr>
      <w:r>
        <w:t>_______________________________________________</w:t>
      </w:r>
    </w:p>
    <w:p/>
    <w:p>
      <w:pPr>
        <w:jc w:val="center"/>
      </w:pPr>
      <w:r>
        <w:rPr>
          <w:b/>
        </w:rPr>
        <w:t>SENATE BILL 5282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Baumgartner</w:t>
      </w:r>
    </w:p>
    <w:p/>
    <w:p>
      <w:r>
        <w:rPr>
          <w:t xml:space="preserve">Read first time 01/19/17.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local governments to prohibit the operation of licensed marijuana retail businesses within alcohol impact areas; and amending RCW 69.50.331.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2015 2nd sp.s. c 4 s 301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state liquor and cannabis board must conduct a comprehensive, fair, and impartial evaluation of the applications timely received.</w:t>
      </w:r>
    </w:p>
    <w:p>
      <w:pPr>
        <w:spacing w:before="0" w:after="0" w:line="408" w:lineRule="exact"/>
        <w:ind w:left="0" w:right="0" w:firstLine="576"/>
        <w:jc w:val="left"/>
      </w:pPr>
      <w:r>
        <w:rPr/>
        <w:t xml:space="preserve">(a) The state liquor and cannabis board must develop a competitive, merit-based application process that includes, at a minimum, the opportunity for an applicant to demonstrate experience and qualifications in the marijuana industry. The state liquor and cannabis board must give preference between competing applications in the licensing process to applicants that have the following experience and qualifications, in the following order of priority:</w:t>
      </w:r>
    </w:p>
    <w:p>
      <w:pPr>
        <w:spacing w:before="0" w:after="0" w:line="408" w:lineRule="exact"/>
        <w:ind w:left="0" w:right="0" w:firstLine="576"/>
        <w:jc w:val="left"/>
      </w:pPr>
      <w:r>
        <w:rPr/>
        <w:t xml:space="preserve">(i) First priority is given to applicants who:</w:t>
      </w:r>
    </w:p>
    <w:p>
      <w:pPr>
        <w:spacing w:before="0" w:after="0" w:line="408" w:lineRule="exact"/>
        <w:ind w:left="0" w:right="0" w:firstLine="576"/>
        <w:jc w:val="left"/>
      </w:pPr>
      <w:r>
        <w:rPr/>
        <w:t xml:space="preserve">(A) Applied to the state liquor and cannabis board for a marijuana retailer license prior to July 1, 2014;</w:t>
      </w:r>
    </w:p>
    <w:p>
      <w:pPr>
        <w:spacing w:before="0" w:after="0" w:line="408" w:lineRule="exact"/>
        <w:ind w:left="0" w:right="0" w:firstLine="576"/>
        <w:jc w:val="left"/>
      </w:pPr>
      <w:r>
        <w:rPr/>
        <w:t xml:space="preserve">(B) Operated or were employed by a collective garden before January 1, 2013;</w:t>
      </w:r>
    </w:p>
    <w:p>
      <w:pPr>
        <w:spacing w:before="0" w:after="0" w:line="408" w:lineRule="exact"/>
        <w:ind w:left="0" w:right="0" w:firstLine="576"/>
        <w:jc w:val="left"/>
      </w:pPr>
      <w:r>
        <w:rPr/>
        <w:t xml:space="preserve">(C) Have maintained a state business license and a municipal business license, as applicable in the relevant jurisdiction; and</w:t>
      </w:r>
    </w:p>
    <w:p>
      <w:pPr>
        <w:spacing w:before="0" w:after="0" w:line="408" w:lineRule="exact"/>
        <w:ind w:left="0" w:right="0" w:firstLine="576"/>
        <w:jc w:val="left"/>
      </w:pPr>
      <w:r>
        <w:rPr/>
        <w:t xml:space="preserve">(D) Have had a history of paying all applicable state taxes and fees;</w:t>
      </w:r>
    </w:p>
    <w:p>
      <w:pPr>
        <w:spacing w:before="0" w:after="0" w:line="408" w:lineRule="exact"/>
        <w:ind w:left="0" w:right="0" w:firstLine="576"/>
        <w:jc w:val="left"/>
      </w:pPr>
      <w:r>
        <w:rPr/>
        <w:t xml:space="preserve">(ii) Second priority must be given to applicants who:</w:t>
      </w:r>
    </w:p>
    <w:p>
      <w:pPr>
        <w:spacing w:before="0" w:after="0" w:line="408" w:lineRule="exact"/>
        <w:ind w:left="0" w:right="0" w:firstLine="576"/>
        <w:jc w:val="left"/>
      </w:pPr>
      <w:r>
        <w:rPr/>
        <w:t xml:space="preserve">(A) Operated or were employed by a collective garden before January 1, 2013;</w:t>
      </w:r>
    </w:p>
    <w:p>
      <w:pPr>
        <w:spacing w:before="0" w:after="0" w:line="408" w:lineRule="exact"/>
        <w:ind w:left="0" w:right="0" w:firstLine="576"/>
        <w:jc w:val="left"/>
      </w:pPr>
      <w:r>
        <w:rPr/>
        <w:t xml:space="preserve">(B) Have maintained a state business license and a municipal business license, as applicable in the relevant jurisdiction; and</w:t>
      </w:r>
    </w:p>
    <w:p>
      <w:pPr>
        <w:spacing w:before="0" w:after="0" w:line="408" w:lineRule="exact"/>
        <w:ind w:left="0" w:right="0" w:firstLine="576"/>
        <w:jc w:val="left"/>
      </w:pPr>
      <w:r>
        <w:rPr/>
        <w:t xml:space="preserve">(C) Have had a history of paying all applicable state taxes and fees; and</w:t>
      </w:r>
    </w:p>
    <w:p>
      <w:pPr>
        <w:spacing w:before="0" w:after="0" w:line="408" w:lineRule="exact"/>
        <w:ind w:left="0" w:right="0" w:firstLine="576"/>
        <w:jc w:val="left"/>
      </w:pPr>
      <w:r>
        <w:rPr/>
        <w:t xml:space="preserve">(iii) Third priority must be given to all other applicants who do not have the experience and qualifications identified in (a)(i) and (ii) of this subsection.</w:t>
      </w:r>
    </w:p>
    <w:p>
      <w:pPr>
        <w:spacing w:before="0" w:after="0" w:line="408" w:lineRule="exact"/>
        <w:ind w:left="0" w:right="0" w:firstLine="576"/>
        <w:jc w:val="left"/>
      </w:pPr>
      <w:r>
        <w:rPr/>
        <w:t xml:space="preserve">(b) The state liquor and cannabis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and cannabis board may consider any prior criminal conduct of the applicant including an administrative violation history record with the state liquor and cannabis board and a criminal history record information check. The state liquor and cannabis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must require fingerprinting of any applicant whose criminal history record information check is submitted to the federal bureau of investigation. The provisions of RCW 9.95.240 and of chapter 9.96A RCW do not apply to these cases. Subject to the provisions of this section, the state liquor and cannabis board may, in its discretion, grant or deny the renewal or license applied for. Denial may be based on, without limitation, the existence of chronic illegal activity documented in objections submitted pursuant to subsections (7)(c) and </w:t>
      </w:r>
      <w:r>
        <w:t>((</w:t>
      </w:r>
      <w:r>
        <w:rPr>
          <w:strike/>
        </w:rPr>
        <w:t xml:space="preserve">(10)</w:t>
      </w:r>
      <w:r>
        <w:t>))</w:t>
      </w:r>
      <w:r>
        <w:rPr/>
        <w:t xml:space="preserve"> </w:t>
      </w:r>
      <w:r>
        <w:rPr>
          <w:u w:val="single"/>
        </w:rPr>
        <w:t xml:space="preserve">(11)</w:t>
      </w:r>
      <w:r>
        <w:rPr/>
        <w:t xml:space="preserve"> of this section. Authority to approve an uncontested or unopposed license may be granted by the state liquor and cannabis board to any staff member the board designates in writing. Conditions for granting this authority must be adopted by rule.</w:t>
      </w:r>
    </w:p>
    <w:p>
      <w:pPr>
        <w:spacing w:before="0" w:after="0" w:line="408" w:lineRule="exact"/>
        <w:ind w:left="0" w:right="0" w:firstLine="576"/>
        <w:jc w:val="left"/>
      </w:pPr>
      <w:r>
        <w:rPr/>
        <w:t xml:space="preserve">(c)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state liquor and cannabis board may, in its discretion, subject to the provisions of RCW 69.50.334,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state liquor and cannabis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state liquor and cannabis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state liquor and cannabis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and cannabis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state liquor and cannabis board or a subpoena issued by the state liquor and cannabis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state liquor and cannabis board. Where the license has been suspended only, the state liquor and cannabis board must return the license to the licensee at the expiration or termination of the period of suspension. The state liquor and cannabis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state liquor and cannabis board to implement and enforce this chapter. All conditions and restrictions imposed by the state liquor and cannabis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state liquor and cannabis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pPr>
        <w:spacing w:before="0" w:after="0" w:line="408" w:lineRule="exact"/>
        <w:ind w:left="0" w:right="0" w:firstLine="576"/>
        <w:jc w:val="left"/>
      </w:pPr>
      <w:r>
        <w:rPr/>
        <w:t xml:space="preserve">(b) The incorporated city or town through the official or employee selected by it, or the county legislative authority or the official or employee selected by it, has the right to file with the state liquor and cannabis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and cannabis board may extend the time period for submitting written objections.</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state liquor and cannabis board may in its discretion hold, a hearing subject to the applicable provisions of Title 34 RCW. If the state liquor and cannabis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and cannabis board representatives must present and defend the state liquor and cannabis board's initial decision to deny a license or renewal.</w:t>
      </w:r>
    </w:p>
    <w:p>
      <w:pPr>
        <w:spacing w:before="0" w:after="0" w:line="408" w:lineRule="exact"/>
        <w:ind w:left="0" w:right="0" w:firstLine="576"/>
        <w:jc w:val="left"/>
      </w:pPr>
      <w:r>
        <w:rPr/>
        <w:t xml:space="preserve">(d) Upon the granting of a license under this title the state liquor and cannabis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(d) of this subsection, the state liquor and cannabis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state liquor and cannabis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t xml:space="preserve">(9) </w:t>
      </w:r>
      <w:r>
        <w:t>((</w:t>
      </w:r>
      <w:r>
        <w:rPr>
          <w:strike/>
        </w:rPr>
        <w:t xml:space="preserve">Subject to section 1601 of this act,</w:t>
      </w:r>
      <w:r>
        <w:t>))</w:t>
      </w:r>
      <w:r>
        <w:rPr/>
        <w:t xml:space="preserve"> </w:t>
      </w:r>
      <w:r>
        <w:rPr>
          <w:u w:val="single"/>
        </w:rPr>
        <w:t xml:space="preserve">A city, town, or county may adopt an ordinance prohibiting a marijuana retail business from operating or locating a business within the boundaries of an alcohol impact area that has been recognized by the state liquor and cannabis board through the passage of a resolution.</w:t>
      </w:r>
    </w:p>
    <w:p>
      <w:pPr>
        <w:spacing w:before="0" w:after="0" w:line="408" w:lineRule="exact"/>
        <w:ind w:left="0" w:right="0" w:firstLine="576"/>
        <w:jc w:val="left"/>
      </w:pPr>
      <w:r>
        <w:rPr>
          <w:u w:val="single"/>
        </w:rPr>
        <w:t xml:space="preserve">(10) A</w:t>
      </w:r>
      <w:r>
        <w:rPr/>
        <w:t xml:space="preserve">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 determining whether to grant or deny a license or renewal of any license, the state liquor and cannabis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
      <w:pPr>
        <w:jc w:val="center"/>
      </w:pPr>
      <w:r>
        <w:rPr>
          <w:b/>
        </w:rPr>
        <w:t>--- END ---</w:t>
      </w:r>
    </w:p>
    <w:sectPr>
      <w:pgNumType w:start="1"/>
      <w:footerReference xmlns:r="http://schemas.openxmlformats.org/officeDocument/2006/relationships" r:id="R0eec4886d8394df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61853dc7e94ebc" /><Relationship Type="http://schemas.openxmlformats.org/officeDocument/2006/relationships/footer" Target="/word/footer.xml" Id="R0eec4886d8394df4" /></Relationships>
</file>