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285a214cc458b" /></Relationships>
</file>

<file path=word/document.xml><?xml version="1.0" encoding="utf-8"?>
<w:document xmlns:w="http://schemas.openxmlformats.org/wordprocessingml/2006/main">
  <w:body>
    <w:p>
      <w:r>
        <w:t>S-0099.1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Hunt, Baumgartner, and Mullet</w:t>
      </w:r>
    </w:p>
    <w:p/>
    <w:p>
      <w:r>
        <w:rPr>
          <w:t xml:space="preserve">Read first time 01/19/17.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retired teachers working as coaches; amending RCW 41.32.068; repealing 2016 c 233 s 19 (uncodified);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068</w:t>
      </w:r>
      <w:r>
        <w:rPr/>
        <w:t xml:space="preserve"> and 2016 c 233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In addition to the postretirement employment options available in RCW 41.32.802 or 41.32.862, and only until August 1, 2020, a teacher in plan 2 or plan 3 who has retired under the alternate early retirement provisions of RCW 41.32.765(3)(b) or 41.32.875(3)(b) may be employed with an employer for up to eight hundred sixty-seven hours per calendar year without suspension of his or her benefit, provided that: </w:t>
      </w:r>
      <w:r>
        <w:t>((</w:t>
      </w:r>
      <w:r>
        <w:rPr>
          <w:strike/>
        </w:rPr>
        <w:t xml:space="preserve">(1)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 The retired teacher reenters employment more than one calendar month after his or her accrual date and after June 9, 2016; </w:t>
      </w:r>
      <w:r>
        <w:t>((</w:t>
      </w:r>
      <w:r>
        <w:rPr>
          <w:strike/>
        </w:rPr>
        <w:t xml:space="preserve">(2) [the retired teacher]</w:t>
      </w:r>
      <w:r>
        <w:t>))</w:t>
      </w:r>
      <w:r>
        <w:rPr/>
        <w:t xml:space="preserve"> </w:t>
      </w:r>
      <w:r>
        <w:rPr>
          <w:u w:val="single"/>
        </w:rPr>
        <w:t xml:space="preserve">(b) the retired teacher</w:t>
      </w:r>
      <w:r>
        <w:rPr/>
        <w:t xml:space="preserve"> is employed exclusively as </w:t>
      </w:r>
      <w:r>
        <w:t>((</w:t>
      </w:r>
      <w:r>
        <w:rPr>
          <w:strike/>
        </w:rPr>
        <w:t xml:space="preserve">either</w:t>
      </w:r>
      <w:r>
        <w:t>))</w:t>
      </w:r>
      <w:r>
        <w:rPr/>
        <w:t xml:space="preserve"> a substitute teacher as defined in RCW 41.32.010(48)(a) in an instructional capacity, as opposed to other capacities identified in RCW 41.32.010(49) </w:t>
      </w:r>
      <w:r>
        <w:rPr>
          <w:u w:val="single"/>
        </w:rPr>
        <w:t xml:space="preserve">or as a coach</w:t>
      </w:r>
      <w:r>
        <w:rPr/>
        <w:t xml:space="preserve">; and </w:t>
      </w: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the employing school district compensates the district's substitute teachers at a rate that is at least eighty-five percent of the full daily amount allocated by the state to the district for substitute teacher compensation.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This section expires July 1, 2021.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2016 c 233 s 19</w:t>
      </w:r>
      <w:r>
        <w:rPr/>
        <w:t xml:space="preserve"> (uncodified) is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ac9dc935ee475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27ab9d4ba4ad6" /><Relationship Type="http://schemas.openxmlformats.org/officeDocument/2006/relationships/footer" Target="/word/footer.xml" Id="R22ac9dc935ee475a" /></Relationships>
</file>