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b73bb7c9b64147" /></Relationships>
</file>

<file path=word/document.xml><?xml version="1.0" encoding="utf-8"?>
<w:document xmlns:w="http://schemas.openxmlformats.org/wordprocessingml/2006/main">
  <w:body>
    <w:p>
      <w:r>
        <w:t>Z-0314.1</w:t>
      </w:r>
    </w:p>
    <w:p>
      <w:pPr>
        <w:jc w:val="center"/>
      </w:pPr>
      <w:r>
        <w:t>_______________________________________________</w:t>
      </w:r>
    </w:p>
    <w:p/>
    <w:p>
      <w:pPr>
        <w:jc w:val="center"/>
      </w:pPr>
      <w:r>
        <w:rPr>
          <w:b/>
        </w:rPr>
        <w:t>SENATE BILL 5334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Liias, Walsh, Kuderer, Keiser, and Wellman;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period for voter registration to no later than eleven days before the day of a primary, special election, or general election; amending RCW 29A.08.140, 29A.08.125, 29A.08.410, and 29A.08.620; adding a new section to chapter 29A.08 RCW; repealing RCW 29A.08.420;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29A.08.310, or 29A.08.320,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w:t>
      </w:r>
      <w:r>
        <w:rPr>
          <w:strike/>
        </w:rPr>
        <w:t xml:space="preserve">Register</w:t>
      </w:r>
      <w:r>
        <w:rPr/>
        <w:t xml:space="preserve">)) </w:t>
      </w:r>
      <w:r>
        <w:rPr>
          <w:u w:val="single"/>
        </w:rPr>
        <w:t xml:space="preserve">Submit a registration application no later than eleven days before the day of the primary, special election, or general election:</w:t>
      </w:r>
    </w:p>
    <w:p>
      <w:pPr>
        <w:spacing w:before="0" w:after="0" w:line="408" w:lineRule="exact"/>
        <w:ind w:left="0" w:right="0" w:firstLine="576"/>
        <w:jc w:val="left"/>
      </w:pPr>
      <w:r>
        <w:rPr>
          <w:u w:val="single"/>
        </w:rPr>
        <w:t xml:space="preserve">(i) Pursuant to RCW 29A.08.123, 29A.08.330(4), or 29A.08.340; or</w:t>
      </w:r>
    </w:p>
    <w:p>
      <w:pPr>
        <w:spacing w:before="0" w:after="0" w:line="408" w:lineRule="exact"/>
        <w:ind w:left="0" w:right="0" w:firstLine="576"/>
        <w:jc w:val="left"/>
      </w:pPr>
      <w:r>
        <w:rPr>
          <w:u w:val="single"/>
        </w:rPr>
        <w:t xml:space="preserve">(ii) I</w:t>
      </w:r>
      <w:r>
        <w:rPr/>
        <w:t xml:space="preserve">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 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If a voter registration deadline falls on a state or federal holiday, the deadline is moved to the next business day after the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voter registration application pursuant to RCW 29A.08.115, 29A.08.120, 29A.08.310, or 29A.08.320, received by election officials no later than eleven days before the day of the primary, special election, or general election; or</w:t>
      </w:r>
    </w:p>
    <w:p>
      <w:pPr>
        <w:spacing w:before="0" w:after="0" w:line="408" w:lineRule="exact"/>
        <w:ind w:left="0" w:right="0" w:firstLine="576"/>
        <w:jc w:val="left"/>
      </w:pPr>
      <w:r>
        <w:rPr/>
        <w:t xml:space="preserve">(b) Submit a registration application pursuant to RCW 29A.08.123, 29A.08.330(4), or 29A.08.340 no later than eleven days before the day of the primary, special election, or general election; or submit a registration application in person at the county auditor's office in his or her county of residence, or an alternate location designated by the county auditor no later than eleven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change his or her residential address or name no later than eleven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t xml:space="preserve">(3)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4 through 6 of this act take effect when the statewide voter registration database operated by the secretary of state is compliant with RCW 29A.08.125.</w:t>
      </w:r>
    </w:p>
    <w:p>
      <w:pPr>
        <w:spacing w:before="0" w:after="0" w:line="408" w:lineRule="exact"/>
        <w:ind w:left="0" w:right="0" w:firstLine="576"/>
        <w:jc w:val="left"/>
      </w:pPr>
      <w:r>
        <w:rPr/>
        <w:t xml:space="preserve">(2) The secretary of state's office must provide written notice to the code reviser's office when the statewide voter registration database is compliant with RCW 29A.08.125.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when sections 2 and 4 through 6 of this act take effect.</w:t>
      </w:r>
    </w:p>
    <w:p/>
    <w:p>
      <w:pPr>
        <w:jc w:val="center"/>
      </w:pPr>
      <w:r>
        <w:rPr>
          <w:b/>
        </w:rPr>
        <w:t>--- END ---</w:t>
      </w:r>
    </w:p>
    <w:sectPr>
      <w:pgNumType w:start="1"/>
      <w:footerReference xmlns:r="http://schemas.openxmlformats.org/officeDocument/2006/relationships" r:id="Rf8785aa0ef3c45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ce95e74b847a3" /><Relationship Type="http://schemas.openxmlformats.org/officeDocument/2006/relationships/footer" Target="/word/footer.xml" Id="Rf8785aa0ef3c45e8" /></Relationships>
</file>