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72dab45e184c7b" /></Relationships>
</file>

<file path=word/document.xml><?xml version="1.0" encoding="utf-8"?>
<w:document xmlns:w="http://schemas.openxmlformats.org/wordprocessingml/2006/main">
  <w:body>
    <w:p>
      <w:r>
        <w:t>S-0786.1</w:t>
      </w:r>
    </w:p>
    <w:p>
      <w:pPr>
        <w:jc w:val="center"/>
      </w:pPr>
      <w:r>
        <w:t>_______________________________________________</w:t>
      </w:r>
    </w:p>
    <w:p/>
    <w:p>
      <w:pPr>
        <w:jc w:val="center"/>
      </w:pPr>
      <w:r>
        <w:rPr>
          <w:b/>
        </w:rPr>
        <w:t>SENATE BILL 5395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Mullet, Keiser, and Pedersen</w:t>
      </w:r>
    </w:p>
    <w:p/>
    <w:p>
      <w:r>
        <w:rPr>
          <w:t xml:space="preserve">Read first time 01/23/17.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timing and content of disclosures by continuing care retirement communities; and amending RCW 18.390.030, 18.390.060, and 18.390.070.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030</w:t>
      </w:r>
      <w:r>
        <w:rPr/>
        <w:t xml:space="preserve"> and 2016 c 183 s 3 are each amended to read as follows:</w:t>
      </w:r>
    </w:p>
    <w:p>
      <w:pPr>
        <w:spacing w:before="0" w:after="0" w:line="408" w:lineRule="exact"/>
        <w:ind w:left="0" w:right="0" w:firstLine="576"/>
        <w:jc w:val="left"/>
      </w:pPr>
      <w:r>
        <w:rPr/>
        <w:t xml:space="preserve">(1) An applicant for a registration as a continuing care retirement community must submit the following materials to the department:</w:t>
      </w:r>
    </w:p>
    <w:p>
      <w:pPr>
        <w:spacing w:before="0" w:after="0" w:line="408" w:lineRule="exact"/>
        <w:ind w:left="0" w:right="0" w:firstLine="576"/>
        <w:jc w:val="left"/>
      </w:pPr>
      <w:r>
        <w:rPr/>
        <w:t xml:space="preserve">(a) A written application to the department providing all necessary information on a form provided by the department;</w:t>
      </w:r>
    </w:p>
    <w:p>
      <w:pPr>
        <w:spacing w:before="0" w:after="0" w:line="408" w:lineRule="exact"/>
        <w:ind w:left="0" w:right="0" w:firstLine="576"/>
        <w:jc w:val="left"/>
      </w:pPr>
      <w:r>
        <w:rPr/>
        <w:t xml:space="preserve">(b) Information about the licensed assisted living facility component of the continuing care retirement community and, if the continuing care retirement community operates a nursing home, information about that component;</w:t>
      </w:r>
    </w:p>
    <w:p>
      <w:pPr>
        <w:spacing w:before="0" w:after="0" w:line="408" w:lineRule="exact"/>
        <w:ind w:left="0" w:right="0" w:firstLine="576"/>
        <w:jc w:val="left"/>
      </w:pPr>
      <w:r>
        <w:rPr/>
        <w:t xml:space="preserve">(c) Copies of any </w:t>
      </w:r>
      <w:r>
        <w:rPr>
          <w:u w:val="single"/>
        </w:rPr>
        <w:t xml:space="preserve">agreements, including</w:t>
      </w:r>
      <w:r>
        <w:rPr/>
        <w:t xml:space="preserve"> residency agreements </w:t>
      </w:r>
      <w:r>
        <w:rPr>
          <w:u w:val="single"/>
        </w:rPr>
        <w:t xml:space="preserve">and care service agreements</w:t>
      </w:r>
      <w:r>
        <w:rPr/>
        <w:t xml:space="preserve"> that the continuing care retirement community intends to use for the </w:t>
      </w:r>
      <w:r>
        <w:t>((</w:t>
      </w:r>
      <w:r>
        <w:rPr>
          <w:strike/>
        </w:rPr>
        <w:t xml:space="preserve">certification</w:t>
      </w:r>
      <w:r>
        <w:t>))</w:t>
      </w:r>
      <w:r>
        <w:rPr/>
        <w:t xml:space="preserve"> </w:t>
      </w:r>
      <w:r>
        <w:rPr>
          <w:u w:val="single"/>
        </w:rPr>
        <w:t xml:space="preserve">registration</w:t>
      </w:r>
      <w:r>
        <w:rPr/>
        <w:t xml:space="preserve"> period;</w:t>
      </w:r>
    </w:p>
    <w:p>
      <w:pPr>
        <w:spacing w:before="0" w:after="0" w:line="408" w:lineRule="exact"/>
        <w:ind w:left="0" w:right="0" w:firstLine="576"/>
        <w:jc w:val="left"/>
      </w:pPr>
      <w:r>
        <w:rPr/>
        <w:t xml:space="preserve">(d) A copy of the disclosure statement that includes current information required by RCW 18.390.060;</w:t>
      </w:r>
    </w:p>
    <w:p>
      <w:pPr>
        <w:spacing w:before="0" w:after="0" w:line="408" w:lineRule="exact"/>
        <w:ind w:left="0" w:right="0" w:firstLine="576"/>
        <w:jc w:val="left"/>
      </w:pPr>
      <w:r>
        <w:rPr/>
        <w:t xml:space="preserve">(e)(i) Except as provided in (e)(ii) of this subsection, copies of audited financial statements for the two most recent fiscal years. The audited financial statement for the most current period may not have been prepared more than eighteen months prior to the date that the continuing care retirement community applied for its current registration;</w:t>
      </w:r>
    </w:p>
    <w:p>
      <w:pPr>
        <w:spacing w:before="0" w:after="0" w:line="408" w:lineRule="exact"/>
        <w:ind w:left="0" w:right="0" w:firstLine="576"/>
        <w:jc w:val="left"/>
      </w:pPr>
      <w:r>
        <w:rPr/>
        <w:t xml:space="preserve">(ii) If the continuing care retirement community:</w:t>
      </w:r>
    </w:p>
    <w:p>
      <w:pPr>
        <w:spacing w:before="0" w:after="0" w:line="408" w:lineRule="exact"/>
        <w:ind w:left="0" w:right="0" w:firstLine="576"/>
        <w:jc w:val="left"/>
      </w:pPr>
      <w:r>
        <w:rPr/>
        <w:t xml:space="preserve">(A) Has obtained financing, but has been in operation less than two years, a copy of the audited financial statement for the most current period, if available, and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(f) An attestation by a management representative of the continuing care retirement community that the continuing care retirement community is in compliance with the disclosure notification requirements of RCW 18.390.060; and</w:t>
      </w:r>
    </w:p>
    <w:p>
      <w:pPr>
        <w:spacing w:before="0" w:after="0" w:line="408" w:lineRule="exact"/>
        <w:ind w:left="0" w:right="0" w:firstLine="576"/>
        <w:jc w:val="left"/>
      </w:pPr>
      <w:r>
        <w:rPr/>
        <w:t xml:space="preserve">(g) Payment of any registration fees associated with the department's cost of registering continuing care retirement communities.</w:t>
      </w:r>
    </w:p>
    <w:p>
      <w:pPr>
        <w:spacing w:before="0" w:after="0" w:line="408" w:lineRule="exact"/>
        <w:ind w:left="0" w:right="0" w:firstLine="576"/>
        <w:jc w:val="left"/>
      </w:pPr>
      <w:r>
        <w:rPr/>
        <w:t xml:space="preserve">(2) The department shall base its decision to issue a registration on the completeness of the application. If an application is incomplete, the department shall inform the applicant and give the applicant an opportunity to supplement its submission. An applicant may appeal a decision of the department to deny an application for registration.</w:t>
      </w:r>
    </w:p>
    <w:p>
      <w:pPr>
        <w:spacing w:before="0" w:after="0" w:line="408" w:lineRule="exact"/>
        <w:ind w:left="0" w:right="0" w:firstLine="576"/>
        <w:jc w:val="left"/>
      </w:pPr>
      <w:r>
        <w:rPr/>
        <w:t xml:space="preserve">(3) The department shall issue the registration within sixty days of the receipt of a complete application, payment of fees, submission of disclosures, residency agreements, and the attestation. The department's failure to timely issue a registration may not cause a delay in the change of ownership and ongoing operation of the continuing care retirement community.</w:t>
      </w:r>
    </w:p>
    <w:p>
      <w:pPr>
        <w:spacing w:before="0" w:after="0" w:line="408" w:lineRule="exact"/>
        <w:ind w:left="0" w:right="0" w:firstLine="576"/>
        <w:jc w:val="left"/>
      </w:pPr>
      <w:r>
        <w:rPr/>
        <w:t xml:space="preserve">(4) Registration is valid for two years.</w:t>
      </w:r>
    </w:p>
    <w:p>
      <w:pPr>
        <w:spacing w:before="0" w:after="0" w:line="408" w:lineRule="exact"/>
        <w:ind w:left="0" w:right="0" w:firstLine="576"/>
        <w:jc w:val="left"/>
      </w:pPr>
      <w:r>
        <w:rPr/>
        <w:t xml:space="preserve">(5) Registration is not transferable.</w:t>
      </w:r>
    </w:p>
    <w:p>
      <w:pPr>
        <w:spacing w:before="0" w:after="0" w:line="408" w:lineRule="exact"/>
        <w:ind w:left="0" w:right="0" w:firstLine="576"/>
        <w:jc w:val="left"/>
      </w:pPr>
      <w:r>
        <w:t>((</w:t>
      </w:r>
      <w:r>
        <w:rPr>
          <w:strike/>
        </w:rPr>
        <w:t xml:space="preserve">(6) Materials submitted pursuant to this section are not subject to disclosure under the public records act, chapter 42.56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060</w:t>
      </w:r>
      <w:r>
        <w:rPr/>
        <w:t xml:space="preserve"> and 2016 c 183 s 6 are each amended to read as follows:</w:t>
      </w:r>
    </w:p>
    <w:p>
      <w:pPr>
        <w:spacing w:before="0" w:after="0" w:line="408" w:lineRule="exact"/>
        <w:ind w:left="0" w:right="0" w:firstLine="576"/>
        <w:jc w:val="left"/>
      </w:pP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average annual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Statements describing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Statements describing the continuing care retirement community's policy related to changes in levels of care and any associated fees;</w:t>
      </w:r>
    </w:p>
    <w:p>
      <w:pPr>
        <w:spacing w:before="0" w:after="0" w:line="408" w:lineRule="exact"/>
        <w:ind w:left="0" w:right="0" w:firstLine="576"/>
        <w:jc w:val="left"/>
      </w:pPr>
      <w:r>
        <w:rPr/>
        <w:t xml:space="preserve">(k) Statements describing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care, long-term care, or health-related services are provided. If the services are provided at a facility that is not </w:t>
      </w:r>
      <w:r>
        <w:t>((</w:t>
      </w:r>
      <w:r>
        <w:rPr>
          <w:strike/>
        </w:rPr>
        <w:t xml:space="preserve">certified</w:t>
      </w:r>
      <w:r>
        <w:t>))</w:t>
      </w:r>
      <w:r>
        <w:rPr/>
        <w:t xml:space="preserve"> </w:t>
      </w:r>
      <w:r>
        <w:rPr>
          <w:u w:val="single"/>
        </w:rPr>
        <w:t xml:space="preserve">registered</w:t>
      </w:r>
      <w:r>
        <w:rPr/>
        <w:t xml:space="preserve">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and</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w:t>
      </w:r>
      <w:r>
        <w:rPr>
          <w:u w:val="single"/>
        </w:rPr>
        <w:t xml:space="preserve">and the most recent detailed annual actuarial analysis prepared in accordance with generally accepted actuarial principles by a qualified actuary</w:t>
      </w:r>
      <w:r>
        <w:rPr/>
        <w:t xml:space="preserve">. The most recently audited financial statement may not have been prepared more than eighteen months prior to the date that the continuing care retirement community applied for its current registration;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(2) The disclosure statement must be written in understandable language and a clear format.</w:t>
      </w:r>
    </w:p>
    <w:p>
      <w:pPr>
        <w:spacing w:before="0" w:after="0" w:line="408" w:lineRule="exact"/>
        <w:ind w:left="0" w:right="0" w:firstLine="576"/>
        <w:jc w:val="left"/>
      </w:pPr>
      <w:r>
        <w:rPr/>
        <w:t xml:space="preserve">(3) </w:t>
      </w:r>
      <w:r>
        <w:rPr>
          <w:u w:val="single"/>
        </w:rPr>
        <w:t xml:space="preserve">At least thirty calendar days p</w:t>
      </w:r>
      <w:r>
        <w:rPr/>
        <w:t xml:space="preserve">rior to entering into </w:t>
      </w:r>
      <w:r>
        <w:rPr>
          <w:u w:val="single"/>
        </w:rPr>
        <w:t xml:space="preserve">any agreement, including</w:t>
      </w:r>
      <w:r>
        <w:rPr/>
        <w:t xml:space="preserve"> a residency agreement </w:t>
      </w:r>
      <w:r>
        <w:rPr>
          <w:u w:val="single"/>
        </w:rPr>
        <w:t xml:space="preserve">or care services agreement,</w:t>
      </w:r>
      <w:r>
        <w:rPr/>
        <w:t xml:space="preserve"> with, or accepting an entrance fee from, any prospective resident, a continuing care retirement community must deliver to the prospective resident a copy of the disclosure statement most recently submitted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070</w:t>
      </w:r>
      <w:r>
        <w:rPr/>
        <w:t xml:space="preserve"> and 2016 c 183 s 7 are each amended to read as follows:</w:t>
      </w:r>
    </w:p>
    <w:p>
      <w:pPr>
        <w:spacing w:before="0" w:after="0" w:line="408" w:lineRule="exact"/>
        <w:ind w:left="0" w:right="0" w:firstLine="576"/>
        <w:jc w:val="left"/>
      </w:pPr>
      <w:r>
        <w:rPr/>
        <w:t xml:space="preserve">(1) A prospective resident may visit each of the different care levels of the continuing care retirement community, assisted living facility, and nursing home, and may inspect the most recent inspection reports and findings of complaint investigations related to the assisted living and nursing home components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Transparency regarding the financial stability of the provider operating the facility;</w:t>
      </w:r>
    </w:p>
    <w:p>
      <w:pPr>
        <w:spacing w:before="0" w:after="0" w:line="408" w:lineRule="exact"/>
        <w:ind w:left="0" w:right="0" w:firstLine="576"/>
        <w:jc w:val="left"/>
      </w:pPr>
      <w:r>
        <w:rPr/>
        <w:t xml:space="preserve">(b) Timely notifications of developments affecting the facility, including ownership changes of the provider operating the facility, a change in the financial condition of the provider operating the facility, and construction and renovation at the facility</w:t>
      </w:r>
      <w:r>
        <w:t>((</w:t>
      </w:r>
      <w:r>
        <w:rPr>
          <w:strike/>
        </w:rPr>
        <w:t xml:space="preserve">. The management of the continuing care retirement community may deem certain information to be confidential if it is of a sensitive nature such that disclosure of the information would materially harm the position of the continuing care retirement community</w:t>
      </w:r>
      <w:r>
        <w:t>))</w:t>
      </w:r>
      <w:r>
        <w:rPr/>
        <w:t xml:space="preserve">;</w:t>
      </w:r>
    </w:p>
    <w:p>
      <w:pPr>
        <w:spacing w:before="0" w:after="0" w:line="408" w:lineRule="exact"/>
        <w:ind w:left="0" w:right="0" w:firstLine="576"/>
        <w:jc w:val="left"/>
      </w:pPr>
      <w:r>
        <w:rPr/>
        <w:t xml:space="preserve">(c) Reasonable accommodations for persons with disabilities;</w:t>
      </w:r>
    </w:p>
    <w:p>
      <w:pPr>
        <w:spacing w:before="0" w:after="0" w:line="408" w:lineRule="exact"/>
        <w:ind w:left="0" w:right="0" w:firstLine="576"/>
        <w:jc w:val="left"/>
      </w:pPr>
      <w:r>
        <w:rPr/>
        <w:t xml:space="preserve">(d) The opportunity to participate freely in the operation of independent resident organizations and associations;</w:t>
      </w:r>
    </w:p>
    <w:p>
      <w:pPr>
        <w:spacing w:before="0" w:after="0" w:line="408" w:lineRule="exact"/>
        <w:ind w:left="0" w:right="0" w:firstLine="576"/>
        <w:jc w:val="left"/>
      </w:pPr>
      <w:r>
        <w:rPr/>
        <w:t xml:space="preserve">(e) The opportunity to seek independent counsel review of all contracts, including residency agreements, prior to executing the residency agreement; </w:t>
      </w:r>
      <w:r>
        <w:t>((</w:t>
      </w:r>
      <w:r>
        <w:rPr>
          <w:strike/>
        </w:rPr>
        <w:t xml:space="preserve">and</w:t>
      </w:r>
      <w:r>
        <w:t>))</w:t>
      </w:r>
    </w:p>
    <w:p>
      <w:pPr>
        <w:spacing w:before="0" w:after="0" w:line="408" w:lineRule="exact"/>
        <w:ind w:left="0" w:right="0" w:firstLine="576"/>
        <w:jc w:val="left"/>
      </w:pPr>
      <w:r>
        <w:rPr/>
        <w:t xml:space="preserve">(f) The assurance that all requests for donations, contributions, and gifts</w:t>
      </w:r>
      <w:r>
        <w:t>((</w:t>
      </w:r>
      <w:r>
        <w:rPr>
          <w:strike/>
        </w:rPr>
        <w:t xml:space="preserve">, when made by residents</w:t>
      </w:r>
      <w:r>
        <w:t>))</w:t>
      </w:r>
      <w:r>
        <w:rPr/>
        <w:t xml:space="preserve"> to the continuing care retirement community</w:t>
      </w:r>
      <w:r>
        <w:t>((</w:t>
      </w:r>
      <w:r>
        <w:rPr>
          <w:strike/>
        </w:rPr>
        <w:t xml:space="preserve">,</w:t>
      </w:r>
      <w:r>
        <w:t>))</w:t>
      </w:r>
      <w:r>
        <w:rPr/>
        <w:t xml:space="preserve"> are voluntary and may not be used as a condition of residency</w:t>
      </w:r>
      <w:r>
        <w:rPr>
          <w:u w:val="single"/>
        </w:rPr>
        <w:t xml:space="preserve">;</w:t>
      </w:r>
    </w:p>
    <w:p>
      <w:pPr>
        <w:spacing w:before="0" w:after="0" w:line="408" w:lineRule="exact"/>
        <w:ind w:left="0" w:right="0" w:firstLine="576"/>
        <w:jc w:val="left"/>
      </w:pPr>
      <w:r>
        <w:rPr>
          <w:u w:val="single"/>
        </w:rPr>
        <w:t xml:space="preserve">(g) The receipt, upon request, of a copy of the current disclosure statement prepared under RCW 18.390.060 and any agreement most recently filed with the department under RCW 18.390.030; and</w:t>
      </w:r>
    </w:p>
    <w:p>
      <w:pPr>
        <w:spacing w:before="0" w:after="0" w:line="408" w:lineRule="exact"/>
        <w:ind w:left="0" w:right="0" w:firstLine="576"/>
        <w:jc w:val="left"/>
      </w:pPr>
      <w:r>
        <w:rPr>
          <w:u w:val="single"/>
        </w:rPr>
        <w:t xml:space="preserve">(h) The opportunity to participate meaningfully in decisions affecting him or her</w:t>
      </w:r>
      <w:r>
        <w:rPr/>
        <w:t xml:space="preserve">.</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signing a residency agreement; and</w:t>
      </w:r>
    </w:p>
    <w:p>
      <w:pPr>
        <w:spacing w:before="0" w:after="0" w:line="408" w:lineRule="exact"/>
        <w:ind w:left="0" w:right="0" w:firstLine="576"/>
        <w:jc w:val="left"/>
      </w:pPr>
      <w:r>
        <w:rPr/>
        <w:t xml:space="preserve">(b) Make copies of the expectations specified in this section publicly available in areas accessible to the independent residents and visitors. The copies of the expectations must also state that independent residents have the right, as an affected party, to file a complaint with the attorney general for violations of this chapter that may constitute a violation of the consumer protection act and contain information explaining how and where a complaint may be filed.</w:t>
      </w:r>
    </w:p>
    <w:p/>
    <w:p>
      <w:pPr>
        <w:jc w:val="center"/>
      </w:pPr>
      <w:r>
        <w:rPr>
          <w:b/>
        </w:rPr>
        <w:t>--- END ---</w:t>
      </w:r>
    </w:p>
    <w:sectPr>
      <w:pgNumType w:start="1"/>
      <w:footerReference xmlns:r="http://schemas.openxmlformats.org/officeDocument/2006/relationships" r:id="Re113de5435554f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c3cc67575641b5" /><Relationship Type="http://schemas.openxmlformats.org/officeDocument/2006/relationships/footer" Target="/word/footer.xml" Id="Re113de5435554f79" /></Relationships>
</file>