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56c837bac4b4c" /></Relationships>
</file>

<file path=word/document.xml><?xml version="1.0" encoding="utf-8"?>
<w:document xmlns:w="http://schemas.openxmlformats.org/wordprocessingml/2006/main">
  <w:body>
    <w:p>
      <w:r>
        <w:t>S-0890.1</w:t>
      </w:r>
    </w:p>
    <w:p>
      <w:pPr>
        <w:jc w:val="center"/>
      </w:pPr>
      <w:r>
        <w:t>_______________________________________________</w:t>
      </w:r>
    </w:p>
    <w:p/>
    <w:p>
      <w:pPr>
        <w:jc w:val="center"/>
      </w:pPr>
      <w:r>
        <w:rPr>
          <w:b/>
        </w:rPr>
        <w:t>SENATE BILL 5416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01/24/17.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tax exemption on intangible property to provide funding for essential government services; creating new sections; and repealing RCW 84.36.070.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long-term economic trends indicate that intangible property income is growing while earned income is falling. The legislature, under previously enacted law, allowed exemptions for intangible property from the state levy. However, this exemption has led to a shift of the burden of state taxes to owners of tangible property which is growing heavier over time. Thus, in light of the long-term economic trend and the current downturn in state revenues, the legislature concludes that the tax exemption for intangible personal property is no longer justified. At a time when virtually every area of the budget is being reduced by substantial amounts, those that are receiving tax exemptions, such as the owners of intangible property, must also bear some of the burden to balance the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070</w:t>
      </w:r>
      <w:r>
        <w:rPr/>
        <w:t xml:space="preserve"> (Intangible personal property</w:t>
      </w:r>
      <w:r>
        <w:rPr>
          <w:rFonts w:ascii="Times New Roman" w:hAnsi="Times New Roman"/>
        </w:rPr>
        <w:t xml:space="preserve">—</w:t>
      </w:r>
      <w:r>
        <w:rPr/>
        <w:t xml:space="preserve">Appraisal) and 1997 c 181 s 1, 1974 ex.s. c 118 s 1, &amp; 1961 c 15 s </w:t>
      </w:r>
      <w:r>
        <w:t xml:space="preserve">84</w:t>
      </w:r>
      <w:r>
        <w:rPr/>
        <w:t xml:space="preserve">.</w:t>
      </w:r>
      <w:r>
        <w:t xml:space="preserve">36</w:t>
      </w:r>
      <w:r>
        <w:rPr/>
        <w:t xml:space="preserve">.</w:t>
      </w:r>
      <w:r>
        <w:t xml:space="preserve">070</w:t>
      </w:r>
      <w:r>
        <w:rPr/>
        <w:t xml:space="preserve">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da58e8f8a9aa4e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487e170094769" /><Relationship Type="http://schemas.openxmlformats.org/officeDocument/2006/relationships/footer" Target="/word/footer.xml" Id="Rda58e8f8a9aa4e61" /></Relationships>
</file>