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11fb0e2d0c4486" /></Relationships>
</file>

<file path=word/document.xml><?xml version="1.0" encoding="utf-8"?>
<w:document xmlns:w="http://schemas.openxmlformats.org/wordprocessingml/2006/main">
  <w:body>
    <w:p>
      <w:r>
        <w:t>S-0770.1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5450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2017 Regular Session</w:t>
      </w:r>
    </w:p>
    <w:p/>
    <w:p>
      <w:r>
        <w:rPr>
          <w:b/>
        </w:rPr>
        <w:t xml:space="preserve">By </w:t>
      </w:r>
      <w:r>
        <w:t>Senators Liias, Warnick, Ranker, Fain, Miloscia, Zeiger, Wilson, McCoy, Chase, Mullet, and Frockt</w:t>
      </w:r>
    </w:p>
    <w:p/>
    <w:p>
      <w:r>
        <w:rPr>
          <w:t xml:space="preserve">Read first time 01/25/17.  </w:t>
        </w:rPr>
      </w:r>
      <w:r>
        <w:rPr>
          <w:t xml:space="preserve">Referred to Committee on Local Government.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use of cross-laminated timber for building construction; and adding a new section to chapter 19.27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19</w:t>
      </w:r>
      <w:r>
        <w:rPr/>
        <w:t xml:space="preserve">.</w:t>
      </w:r>
      <w:r>
        <w:t xml:space="preserve">27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As used in this section, "cross-laminated timber products" means panels consisting of several layers of lumber boards stacked crosswise and glued or otherwise attached together.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The building code council shall adopt rules for the use of cross-laminated timber products for residential and commercial building construction. Rules adopted for the use of cross-laminated timber products by the state building code council must consider applicable national and international standards.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ae96bbe7f86c4346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5450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2e5b5ad1884d9c" /><Relationship Type="http://schemas.openxmlformats.org/officeDocument/2006/relationships/footer" Target="/word/footer.xml" Id="Rae96bbe7f86c4346" /></Relationships>
</file>