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dc02f1b69b44be" /></Relationships>
</file>

<file path=word/document.xml><?xml version="1.0" encoding="utf-8"?>
<w:document xmlns:w="http://schemas.openxmlformats.org/wordprocessingml/2006/main">
  <w:body>
    <w:p>
      <w:r>
        <w:t>S-0886.1</w:t>
      </w:r>
    </w:p>
    <w:p>
      <w:pPr>
        <w:jc w:val="center"/>
      </w:pPr>
      <w:r>
        <w:t>_______________________________________________</w:t>
      </w:r>
    </w:p>
    <w:p/>
    <w:p>
      <w:pPr>
        <w:jc w:val="center"/>
      </w:pPr>
      <w:r>
        <w:rPr>
          <w:b/>
        </w:rPr>
        <w:t>SENATE BILL 5535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Fortunato</w:t>
      </w:r>
    </w:p>
    <w:p/>
    <w:p>
      <w:r>
        <w:rPr>
          <w:t xml:space="preserve">Read first time 01/27/17.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property tax exemption for residents eighty years and older; amending RCW 84.36.381;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w:t>
      </w:r>
      <w:r>
        <w:t>((</w:t>
      </w:r>
      <w:r>
        <w:rPr>
          <w:strike/>
        </w:rPr>
        <w:t xml:space="preserve">or</w:t>
      </w:r>
      <w:r>
        <w:t>))</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r>
        <w:rPr>
          <w:u w:val="single"/>
        </w:rPr>
        <w:t xml:space="preserve">; or</w:t>
      </w:r>
    </w:p>
    <w:p>
      <w:pPr>
        <w:spacing w:before="0" w:after="0" w:line="408" w:lineRule="exact"/>
        <w:ind w:left="0" w:right="0" w:firstLine="576"/>
        <w:jc w:val="left"/>
      </w:pPr>
      <w:r>
        <w:rPr>
          <w:u w:val="single"/>
        </w:rPr>
        <w:t xml:space="preserve">(iii) Eighty years of age or older on December 31st of the year in which the exemption claim is filed</w:t>
      </w:r>
      <w:r>
        <w:rPr/>
        <w:t xml:space="preserve">.</w:t>
      </w:r>
    </w:p>
    <w:p>
      <w:pPr>
        <w:spacing w:before="0" w:after="0" w:line="408" w:lineRule="exact"/>
        <w:ind w:left="0" w:right="0" w:firstLine="576"/>
        <w:jc w:val="left"/>
      </w:pPr>
      <w:r>
        <w:rPr/>
        <w:t xml:space="preserve">(b) However, any surviving spouse or surviving domestic partner of a person who was receiving an exemption </w:t>
      </w:r>
      <w:r>
        <w:rPr>
          <w:u w:val="single"/>
        </w:rPr>
        <w:t xml:space="preserve">under (a)(i) or (ii) of this subsection</w:t>
      </w:r>
      <w:r>
        <w:rPr/>
        <w:t xml:space="preserve">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w:t>
      </w:r>
      <w:r>
        <w:t>((</w:t>
      </w:r>
      <w:r>
        <w:rPr>
          <w:strike/>
        </w:rPr>
        <w:t xml:space="preserve">The amount that the person</w:t>
      </w:r>
      <w:r>
        <w:t>))</w:t>
      </w:r>
      <w:r>
        <w:rPr/>
        <w:t xml:space="preserve"> </w:t>
      </w:r>
      <w:r>
        <w:rPr>
          <w:u w:val="single"/>
        </w:rPr>
        <w:t xml:space="preserve">A person who qualifies under subsection (3)(a)(iii) of this section is exempt from all regular and excess property taxes on a residence that meets the requirements of subsections (1) and (2) of this section;</w:t>
      </w:r>
    </w:p>
    <w:p>
      <w:pPr>
        <w:spacing w:before="0" w:after="0" w:line="408" w:lineRule="exact"/>
        <w:ind w:left="0" w:right="0" w:firstLine="576"/>
        <w:jc w:val="left"/>
      </w:pPr>
      <w:r>
        <w:rPr>
          <w:u w:val="single"/>
        </w:rPr>
        <w:t xml:space="preserve">(5) The amount that a person qualifying under subsection (3)(a)(i) and (ii) of this section</w:t>
      </w:r>
      <w:r>
        <w:rPr/>
        <w:t xml:space="preserve">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t>((</w:t>
      </w:r>
      <w:r>
        <w:rPr>
          <w:strike/>
        </w:rPr>
        <w:t xml:space="preserve">(5)(a) A person</w:t>
      </w:r>
      <w:r>
        <w:t>))</w:t>
      </w:r>
      <w:r>
        <w:rPr/>
        <w:t xml:space="preserve"> </w:t>
      </w:r>
      <w:r>
        <w:rPr>
          <w:u w:val="single"/>
        </w:rPr>
        <w:t xml:space="preserve">(6)(a) A person under subsection (3)(a)(i) and (ii) of this section</w:t>
      </w:r>
      <w:r>
        <w:rPr/>
        <w:t xml:space="preserve"> who otherwise qualifies under this section and has a combined disposable income of forty thousand dollars or less is exempt from all excess property taxes; and</w:t>
      </w:r>
    </w:p>
    <w:p>
      <w:pPr>
        <w:spacing w:before="0" w:after="0" w:line="408" w:lineRule="exact"/>
        <w:ind w:left="0" w:right="0" w:firstLine="576"/>
        <w:jc w:val="left"/>
      </w:pPr>
      <w:r>
        <w:rPr/>
        <w:t xml:space="preserve">(b)(i) A person </w:t>
      </w:r>
      <w:r>
        <w:rPr>
          <w:u w:val="single"/>
        </w:rPr>
        <w:t xml:space="preserve">under subsection (3)(a)(i) and (ii) of this section</w:t>
      </w:r>
      <w:r>
        <w:rPr/>
        <w:t xml:space="preserve">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t>
      </w:r>
      <w:r>
        <w:rPr>
          <w:u w:val="single"/>
        </w:rPr>
        <w:t xml:space="preserve">under subsection (3)(a)(i) and (ii) of this section</w:t>
      </w:r>
      <w:r>
        <w:rPr/>
        <w:t xml:space="preserve">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For a person </w:t>
      </w:r>
      <w:r>
        <w:rPr>
          <w:u w:val="single"/>
        </w:rPr>
        <w:t xml:space="preserve">under subsection (3)(a)(i) and (ii) of this section</w:t>
      </w:r>
      <w:r>
        <w:rPr/>
        <w:t xml:space="preserve">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preference created in this act is intended to be permanent. The expiration date provisions of RCW 82.32.805(1) do not apply.</w:t>
      </w:r>
    </w:p>
    <w:p/>
    <w:p>
      <w:pPr>
        <w:jc w:val="center"/>
      </w:pPr>
      <w:r>
        <w:rPr>
          <w:b/>
        </w:rPr>
        <w:t>--- END ---</w:t>
      </w:r>
    </w:p>
    <w:sectPr>
      <w:pgNumType w:start="1"/>
      <w:footerReference xmlns:r="http://schemas.openxmlformats.org/officeDocument/2006/relationships" r:id="Re40ca517817244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b68ba941d247a7" /><Relationship Type="http://schemas.openxmlformats.org/officeDocument/2006/relationships/footer" Target="/word/footer.xml" Id="Re40ca517817244e7" /></Relationships>
</file>