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dbf94d16fa454f" /></Relationships>
</file>

<file path=word/document.xml><?xml version="1.0" encoding="utf-8"?>
<w:document xmlns:w="http://schemas.openxmlformats.org/wordprocessingml/2006/main">
  <w:body>
    <w:p>
      <w:r>
        <w:t>S-4547.1</w:t>
      </w:r>
    </w:p>
    <w:p>
      <w:pPr>
        <w:jc w:val="center"/>
      </w:pPr>
      <w:r>
        <w:t>_______________________________________________</w:t>
      </w:r>
    </w:p>
    <w:p/>
    <w:p>
      <w:pPr>
        <w:jc w:val="center"/>
      </w:pPr>
      <w:r>
        <w:rPr>
          <w:b/>
        </w:rPr>
        <w:t>SECOND SUBSTITUTE SENATE BILL 5576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Keiser, Fortunato, Conway, Miloscia, Hobbs, Takko, Hasegawa, Wellman, and Saldaña)</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39.04.350, and 39.12.080;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Awarding agencies are responsible for monitoring apprenticeship utilization hours by contractor. There must be a specific line item in the contract specifying that apprenticeship utilization goals should be met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Awarding agencies must develop a compliance consequence process similar to the three-strike system developed by the Washington state department of transportation,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2017 c 258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N</w:t>
      </w:r>
      <w:r>
        <w:rPr/>
        <w:t xml:space="preserve">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rPr>
          <w:u w:val="single"/>
        </w:rPr>
        <w:t xml:space="preserve">and</w:t>
      </w:r>
    </w:p>
    <w:p>
      <w:pPr>
        <w:spacing w:before="0" w:after="0" w:line="408" w:lineRule="exact"/>
        <w:ind w:left="0" w:right="0" w:firstLine="576"/>
        <w:jc w:val="left"/>
      </w:pPr>
      <w:r>
        <w:rPr>
          <w:u w:val="single"/>
        </w:rPr>
        <w:t xml:space="preserve">(ii) Not have received a third strike from an awarding agency under the compliance process developed under RCW 39.04.320(4)(b) during the one year immediately preceding the date of the bid solicitation;</w:t>
      </w:r>
    </w:p>
    <w:p>
      <w:pPr>
        <w:spacing w:before="0" w:after="0" w:line="408" w:lineRule="exact"/>
        <w:ind w:left="0" w:right="0" w:firstLine="576"/>
        <w:jc w:val="left"/>
      </w:pPr>
      <w:r>
        <w:rPr/>
        <w:t xml:space="preserve">(f) Until December 31, 2013, not have violated RCW 39.04.370 more than one time as determined by the department of labor and industries;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w:t>
      </w:r>
      <w:r>
        <w:t>((</w:t>
      </w:r>
      <w:r>
        <w:rPr>
          <w:strike/>
        </w:rPr>
        <w:t xml:space="preserve">, and</w:t>
      </w:r>
      <w:r>
        <w:t>))</w:t>
      </w:r>
      <w:r>
        <w:rPr>
          <w:u w:val="single"/>
        </w:rPr>
        <w:t xml:space="preserve">;</w:t>
      </w:r>
      <w:r>
        <w:rPr/>
        <w:t xml:space="preserve"> for the investigation and enforcement of all alleged violations of this chapter as provided for in this chapter and chapters 49.48 and 49.52 RCW</w:t>
      </w:r>
      <w:r>
        <w:rPr>
          <w:u w:val="single"/>
        </w:rPr>
        <w:t xml:space="preserve">; and state agency costs for programs required by chapter 39.04 RCW</w:t>
      </w:r>
      <w:r>
        <w:rPr/>
        <w:t xml:space="preserve">.</w:t>
      </w:r>
    </w:p>
    <w:p/>
    <w:p>
      <w:pPr>
        <w:jc w:val="center"/>
      </w:pPr>
      <w:r>
        <w:rPr>
          <w:b/>
        </w:rPr>
        <w:t>--- END ---</w:t>
      </w:r>
    </w:p>
    <w:sectPr>
      <w:pgNumType w:start="1"/>
      <w:footerReference xmlns:r="http://schemas.openxmlformats.org/officeDocument/2006/relationships" r:id="Rfee87718271e4e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e097da30f4fbf" /><Relationship Type="http://schemas.openxmlformats.org/officeDocument/2006/relationships/footer" Target="/word/footer.xml" Id="Rfee87718271e4eb8" /></Relationships>
</file>