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40927fb60481c" /></Relationships>
</file>

<file path=word/document.xml><?xml version="1.0" encoding="utf-8"?>
<w:document xmlns:w="http://schemas.openxmlformats.org/wordprocessingml/2006/main">
  <w:body>
    <w:p>
      <w:r>
        <w:t>S-1758.1</w:t>
      </w:r>
    </w:p>
    <w:p>
      <w:pPr>
        <w:jc w:val="center"/>
      </w:pPr>
      <w:r>
        <w:t>_______________________________________________</w:t>
      </w:r>
    </w:p>
    <w:p/>
    <w:p>
      <w:pPr>
        <w:jc w:val="center"/>
      </w:pPr>
      <w:r>
        <w:rPr>
          <w:b/>
        </w:rPr>
        <w:t>SUBSTITUTE SENATE BILL 5588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Hasegawa, Saldaña, Chase, Darneille, Schoesler, McCoy, Hobbs, Pedersen, Keiser, Hunt, Rolfes, Kuderer, Conway, and Frockt)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amending RCW 43.88C.010, 43.88A.020, and 43.88C.050; adding a new section to chapter 43.88C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Subject to availability of amounts appropriated for this specific purpose, prior to each legislative session, the caseload forecast council shall prepare and submit to the legislature a general disproportionality report. The general disproportionality report must contain the following information:</w:t>
      </w:r>
    </w:p>
    <w:p>
      <w:pPr>
        <w:spacing w:before="0" w:after="0" w:line="408" w:lineRule="exact"/>
        <w:ind w:left="0" w:right="0" w:firstLine="576"/>
        <w:jc w:val="left"/>
      </w:pPr>
      <w:r>
        <w:rPr>
          <w:u w:val="single"/>
        </w:rPr>
        <w:t xml:space="preserve">(a) A table of percentages based on the total number of adult felony sentences in each crime category, distributed by race and ethnicity;</w:t>
      </w:r>
    </w:p>
    <w:p>
      <w:pPr>
        <w:spacing w:before="0" w:after="0" w:line="408" w:lineRule="exact"/>
        <w:ind w:left="0" w:right="0" w:firstLine="576"/>
        <w:jc w:val="left"/>
      </w:pPr>
      <w:r>
        <w:rPr>
          <w:u w:val="single"/>
        </w:rPr>
        <w:t xml:space="preserve">(b) A table of percentages of Washington state's general adult at-risk population, between the ages of eighteen and fifty-four, distributed by race and ethnicity;</w:t>
      </w:r>
    </w:p>
    <w:p>
      <w:pPr>
        <w:spacing w:before="0" w:after="0" w:line="408" w:lineRule="exact"/>
        <w:ind w:left="0" w:right="0" w:firstLine="576"/>
        <w:jc w:val="left"/>
      </w:pPr>
      <w:r>
        <w:rPr>
          <w:u w:val="single"/>
        </w:rPr>
        <w:t xml:space="preserve">(c) A complete list of felony offenses in each crime forecasting category; and</w:t>
      </w:r>
    </w:p>
    <w:p>
      <w:pPr>
        <w:spacing w:before="0" w:after="0" w:line="408" w:lineRule="exact"/>
        <w:ind w:left="0" w:right="0" w:firstLine="576"/>
        <w:jc w:val="left"/>
      </w:pPr>
      <w:r>
        <w:rPr>
          <w:u w:val="single"/>
        </w:rPr>
        <w:t xml:space="preserve">(d) A discussion of limitations in the data presented in (a) and (b) of this subsection.</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caseload forecast council shall establish a procedure for the provision of racial and ethnic impact statements on the effect that legislative bills and resolutions modifying adult felony sentencing will have on racial and ethnic minority groups including, but not limited to, the racial and ethnic composition of the criminal justice system.</w:t>
      </w:r>
    </w:p>
    <w:p>
      <w:pPr>
        <w:spacing w:before="0" w:after="0" w:line="408" w:lineRule="exact"/>
        <w:ind w:left="0" w:right="0" w:firstLine="576"/>
        <w:jc w:val="left"/>
      </w:pPr>
      <w:r>
        <w:rPr/>
        <w:t xml:space="preserve">(2) Racial and ethnic impact statements must be included with the fiscal note produced by the caseload forecast council on any legislative bill or resolution modifying adult felony sentencing. Racial and ethnic impact statements must include, at a minimum, the following:</w:t>
      </w:r>
    </w:p>
    <w:p>
      <w:pPr>
        <w:spacing w:before="0" w:after="0" w:line="408" w:lineRule="exact"/>
        <w:ind w:left="0" w:right="0" w:firstLine="576"/>
        <w:jc w:val="left"/>
      </w:pPr>
      <w:r>
        <w:rPr/>
        <w:t xml:space="preserve">(a) An introductory narrative paragraph;</w:t>
      </w:r>
    </w:p>
    <w:p>
      <w:pPr>
        <w:spacing w:before="0" w:after="0" w:line="408" w:lineRule="exact"/>
        <w:ind w:left="0" w:right="0" w:firstLine="576"/>
        <w:jc w:val="left"/>
      </w:pPr>
      <w:r>
        <w:rPr/>
        <w:t xml:space="preserve">(b) Tables, tailored to the specific fiscal note, displaying:</w:t>
      </w:r>
    </w:p>
    <w:p>
      <w:pPr>
        <w:spacing w:before="0" w:after="0" w:line="408" w:lineRule="exact"/>
        <w:ind w:left="0" w:right="0" w:firstLine="576"/>
        <w:jc w:val="left"/>
      </w:pPr>
      <w:r>
        <w:rPr/>
        <w:t xml:space="preserve">(i) Percentages of the general adult at-risk population distributed by race and ethnicity and percentages for either the proper crime forecasting category or where available and appropriate, the specific offense, distributed by race and ethnicity; and</w:t>
      </w:r>
    </w:p>
    <w:p>
      <w:pPr>
        <w:spacing w:before="0" w:after="0" w:line="408" w:lineRule="exact"/>
        <w:ind w:left="0" w:right="0" w:firstLine="576"/>
        <w:jc w:val="left"/>
      </w:pPr>
      <w:r>
        <w:rPr/>
        <w:t xml:space="preserve">(ii) Projected percentages for either the proper crime forecasting category or where available and appropriate, the specific offense, distributed by race and ethnicity, if the proposed bill or resolution is adopted; and</w:t>
      </w:r>
    </w:p>
    <w:p>
      <w:pPr>
        <w:spacing w:before="0" w:after="0" w:line="408" w:lineRule="exact"/>
        <w:ind w:left="0" w:right="0" w:firstLine="576"/>
        <w:jc w:val="left"/>
      </w:pPr>
      <w:r>
        <w:rPr/>
        <w:t xml:space="preserve">(c) Additional narrative discussing the potential racial and ethnic impacts of the legislation and the limitations of the data, if any.</w:t>
      </w:r>
    </w:p>
    <w:p>
      <w:pPr>
        <w:spacing w:before="0" w:after="0" w:line="408" w:lineRule="exact"/>
        <w:ind w:left="0" w:right="0" w:firstLine="576"/>
        <w:jc w:val="left"/>
      </w:pPr>
      <w:r>
        <w:rPr/>
        <w:t xml:space="preserve">(3) The caseload forecast council may work in cooperation with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and the sentencing guidelines commission to assist in the development of racial impact statements.</w:t>
      </w:r>
    </w:p>
    <w:p>
      <w:pPr>
        <w:spacing w:before="0" w:after="0" w:line="408" w:lineRule="exact"/>
        <w:ind w:left="0" w:right="0" w:firstLine="576"/>
        <w:jc w:val="left"/>
      </w:pPr>
      <w:r>
        <w:rPr/>
        <w:t xml:space="preserve">(4) This section does not prevent either the house of representatives or the senate from acting on any bill before it as otherwise provided by the state Constitution, by law, or by the rules and joint rules of the senate and house of representatives. The lack of any racial impact statement provided in this section or any error in the accuracy thereof does not affect the validity of any measure otherwise duly passed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t xml:space="preserve">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t xml:space="preserve">In establishing the fiscal impact called for pursuant to this chapter, the office of financial management shall coordinate the development of fiscal notes</w:t>
      </w:r>
      <w:r>
        <w:rPr>
          <w:u w:val="single"/>
        </w:rPr>
        <w:t xml:space="preserve">, and, where applicable, the development of racial impact statements,</w:t>
      </w:r>
      <w:r>
        <w:rPr/>
        <w:t xml:space="preserve"> with all state agencies affected.</w:t>
      </w:r>
    </w:p>
    <w:p>
      <w:pPr>
        <w:spacing w:before="0" w:after="0" w:line="408" w:lineRule="exact"/>
        <w:ind w:left="0" w:right="0" w:firstLine="576"/>
        <w:jc w:val="left"/>
      </w:pPr>
      <w:r>
        <w:rPr/>
        <w:t xml:space="preserve">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t xml:space="preserve">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u w:val="single"/>
        </w:rPr>
        <w:t xml:space="preserve">(1)</w:t>
      </w:r>
      <w:r>
        <w:rPr/>
        <w:t xml:space="preserve"> The caseload forecast council shall appoint a research staff of sufficient size and with sufficient resources to accomplish its duties. The caseload forecast council may request from the administrative office of the courts, the department of early learning,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0" w:after="0" w:line="408" w:lineRule="exact"/>
        <w:ind w:left="0" w:right="0" w:firstLine="576"/>
        <w:jc w:val="left"/>
      </w:pPr>
      <w:r>
        <w:rPr>
          <w:u w:val="single"/>
        </w:rPr>
        <w:t xml:space="preserve">(2) The caseload forecast council may request from the administrative office of the courts, the department of corrections, and other agencies, such data, information, and data processing assistance as it may need to accomplish its duties, and these services shall be provided without charge to the caseload forecast council.</w:t>
      </w:r>
    </w:p>
    <w:p>
      <w:pPr>
        <w:spacing w:before="0" w:after="0" w:line="408" w:lineRule="exact"/>
        <w:ind w:left="0" w:right="0" w:firstLine="576"/>
        <w:jc w:val="left"/>
      </w:pPr>
      <w:r>
        <w:rPr>
          <w:u w:val="single"/>
        </w:rPr>
        <w:t xml:space="preserve">(3) The caseload forecast council is considered a criminal justice agency within the meaning of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minority and justice commission, in consultation with the sentencing guidelines commission, shall conduct an evaluation of the implementation of this act and submit a report to the appropriate committees of the legislature by January 1, 2021. The report shall include:</w:t>
      </w:r>
    </w:p>
    <w:p>
      <w:pPr>
        <w:spacing w:before="0" w:after="0" w:line="408" w:lineRule="exact"/>
        <w:ind w:left="0" w:right="0" w:firstLine="576"/>
        <w:jc w:val="left"/>
      </w:pPr>
      <w:r>
        <w:rPr/>
        <w:t xml:space="preserve">(1) Whether the information provided in racial and ethnic impact statements was presented in a clear, concise, and understandable form;</w:t>
      </w:r>
    </w:p>
    <w:p>
      <w:pPr>
        <w:spacing w:before="0" w:after="0" w:line="408" w:lineRule="exact"/>
        <w:ind w:left="0" w:right="0" w:firstLine="576"/>
        <w:jc w:val="left"/>
      </w:pPr>
      <w:r>
        <w:rPr/>
        <w:t xml:space="preserve">(2) Whether any limitations in transmission of relevant data to the caseload forecast council existed during the pilot project;</w:t>
      </w:r>
    </w:p>
    <w:p>
      <w:pPr>
        <w:spacing w:before="0" w:after="0" w:line="408" w:lineRule="exact"/>
        <w:ind w:left="0" w:right="0" w:firstLine="576"/>
        <w:jc w:val="left"/>
      </w:pPr>
      <w:r>
        <w:rPr/>
        <w:t xml:space="preserve">(3) The timeliness of the provision of racial and ethnic impact statements under this act;</w:t>
      </w:r>
    </w:p>
    <w:p>
      <w:pPr>
        <w:spacing w:before="0" w:after="0" w:line="408" w:lineRule="exact"/>
        <w:ind w:left="0" w:right="0" w:firstLine="576"/>
        <w:jc w:val="left"/>
      </w:pPr>
      <w:r>
        <w:rPr/>
        <w:t xml:space="preserve">(4) The cost-effectiveness of the provision of racial and ethnic impact statements under this act;</w:t>
      </w:r>
    </w:p>
    <w:p>
      <w:pPr>
        <w:spacing w:before="0" w:after="0" w:line="408" w:lineRule="exact"/>
        <w:ind w:left="0" w:right="0" w:firstLine="576"/>
        <w:jc w:val="left"/>
      </w:pPr>
      <w:r>
        <w:rPr/>
        <w:t xml:space="preserve">(5) Whether the implementation of racial and ethnic impact statements led to more equitable outcomes in the criminal justice system; and</w:t>
      </w:r>
    </w:p>
    <w:p>
      <w:pPr>
        <w:spacing w:before="0" w:after="0" w:line="408" w:lineRule="exact"/>
        <w:ind w:left="0" w:right="0" w:firstLine="576"/>
        <w:jc w:val="left"/>
      </w:pPr>
      <w:r>
        <w:rPr/>
        <w:t xml:space="preserve">(6) A recommendation as to whether to continue the provision of racial and ethnic impact statements on a permanent basis, including expansion of racial and ethnic impact statements into additional subject matter areas, such as legislative bills and resolutions affecting other parts of the criminal justice system.</w:t>
      </w:r>
    </w:p>
    <w:p/>
    <w:p>
      <w:pPr>
        <w:jc w:val="center"/>
      </w:pPr>
      <w:r>
        <w:rPr>
          <w:b/>
        </w:rPr>
        <w:t>--- END ---</w:t>
      </w:r>
    </w:p>
    <w:sectPr>
      <w:pgNumType w:start="1"/>
      <w:footerReference xmlns:r="http://schemas.openxmlformats.org/officeDocument/2006/relationships" r:id="R8787c3a8b7cc43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8f2c901334abe" /><Relationship Type="http://schemas.openxmlformats.org/officeDocument/2006/relationships/footer" Target="/word/footer.xml" Id="R8787c3a8b7cc43fb" /></Relationships>
</file>