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542233af2542ba" /></Relationships>
</file>

<file path=word/document.xml><?xml version="1.0" encoding="utf-8"?>
<w:document xmlns:w="http://schemas.openxmlformats.org/wordprocessingml/2006/main">
  <w:body>
    <w:p>
      <w:r>
        <w:t>S-1452.2</w:t>
      </w:r>
    </w:p>
    <w:p>
      <w:pPr>
        <w:jc w:val="center"/>
      </w:pPr>
      <w:r>
        <w:t>_______________________________________________</w:t>
      </w:r>
    </w:p>
    <w:p/>
    <w:p>
      <w:pPr>
        <w:jc w:val="center"/>
      </w:pPr>
      <w:r>
        <w:rPr>
          <w:b/>
        </w:rPr>
        <w:t>SUBSTITUTE SENATE BILL 5628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Takko, Fortunato, and Sheldon)</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total combined levy rate of the fire protection district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reduction</w:t>
      </w:r>
      <w:r>
        <w:rPr/>
        <w:t xml:space="preserve"> in the city or town general fund regular property tax levy rate in the first year in which the fire protection district imposes any of the property taxes in RCW 52.16.130, 52.16.140, or 52.16.160. In calculating the reduction </w:t>
      </w:r>
      <w:r>
        <w:rPr/>
        <w:t xml:space="preserve">in a city or town general fund regular property tax levy rate under this subsection (1)(b)(ii), the maximum allowable tax rate that the city could have imposed subject to the limitations of chapter 84.55 RCW must be used; and</w:t>
      </w:r>
    </w:p>
    <w:p>
      <w:pPr>
        <w:spacing w:before="0" w:after="0" w:line="408" w:lineRule="exact"/>
        <w:ind w:left="0" w:right="0" w:firstLine="576"/>
        <w:jc w:val="left"/>
      </w:pPr>
      <w:r>
        <w:rPr/>
        <w:t xml:space="preserve">(iii) The estimated aggregate net dollar amount impact on property owners within the city or town based on the levy rate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5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(e)(i) A city or town fire protection district may establish an ambulance service to be operated as a public utility. However, the fire protection district may not provide for the establishment of an ambulance service utility that would compete with any existing private ambulance service unless the district determines that the area served by the district, or a substantial portion of the area served by the district, is not adequately served by an existing private ambulance service.</w:t>
      </w:r>
    </w:p>
    <w:p>
      <w:pPr>
        <w:spacing w:before="0" w:after="0" w:line="408" w:lineRule="exact"/>
        <w:ind w:left="0" w:right="0" w:firstLine="576"/>
        <w:jc w:val="left"/>
      </w:pPr>
      <w:r>
        <w:rPr/>
        <w:t xml:space="preserve">(ii) In determining the adequacy of an existing private ambulance service, the fire protection district must take into consideration objective generally accepted medical standards and reasonable levels of service, which must be published by the district. If a fire protection district makes a preliminary conclusion that an existing private ambulance service is inadequate, the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district may immediately issue a call for bids or establish its own ambulance service utility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(iii) A private ambulance service that is not licensed by the department of health, or has had its license denied, suspended, or revoked, is not entitled to a sixty-day period to demonstrate adequacy, and the district may immediately issue a call for bids or establish an ambulance service utility.</w:t>
      </w:r>
    </w:p>
    <w:p>
      <w:pPr>
        <w:spacing w:before="0" w:after="0" w:line="408" w:lineRule="exact"/>
        <w:ind w:left="0" w:right="0" w:firstLine="576"/>
        <w:jc w:val="left"/>
      </w:pPr>
      <w:r>
        <w:rPr/>
        <w:t xml:space="preserve">(iv) A private ambulance service that abandons service in the area served by the district, or a substantial portion of the area served by the district, is not entitled to a sixty-day period to demonstrate adequacy, and the district may immediately issue a call for bids or establish an ambulance service utility. If a district becomes aware of an intent to abandon service at a future date, the district may immediately issue a call for bids or establish an ambulance service utility to avoid an interruption in service.</w:t>
      </w:r>
    </w:p>
    <w:p>
      <w:pPr>
        <w:spacing w:before="0" w:after="0" w:line="408" w:lineRule="exact"/>
        <w:ind w:left="0" w:right="0" w:firstLine="576"/>
        <w:jc w:val="left"/>
      </w:pPr>
      <w:r>
        <w:rPr/>
        <w:t xml:space="preserve">(3) A city or town must reduce its general fund regular property tax levy by the total combined levy of the fire protection district. The tax rate reduction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5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8c647585968749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a4f6298744393" /><Relationship Type="http://schemas.openxmlformats.org/officeDocument/2006/relationships/footer" Target="/word/footer.xml" Id="R8c647585968749c7" /></Relationships>
</file>