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a199f6529346d2" /></Relationships>
</file>

<file path=word/document.xml><?xml version="1.0" encoding="utf-8"?>
<w:document xmlns:w="http://schemas.openxmlformats.org/wordprocessingml/2006/main">
  <w:body>
    <w:p>
      <w:r>
        <w:t>S-1089.1</w:t>
      </w:r>
    </w:p>
    <w:p>
      <w:pPr>
        <w:jc w:val="center"/>
      </w:pPr>
      <w:r>
        <w:t>_______________________________________________</w:t>
      </w:r>
    </w:p>
    <w:p/>
    <w:p>
      <w:pPr>
        <w:jc w:val="center"/>
      </w:pPr>
      <w:r>
        <w:rPr>
          <w:b/>
        </w:rPr>
        <w:t>SENATE BILL 5637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Becker, Rivers, Bailey, and O'Ban</w:t>
      </w:r>
    </w:p>
    <w:p/>
    <w:p>
      <w:r>
        <w:rPr>
          <w:t xml:space="preserve">Read first time 02/01/17.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insurance mandates in the individual and small group markets; amending RCW 48.43.715;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provide additional options for health insurance coverage in the commercial individual and small group markets. Further, it is the intent of the legislature to increase the variety of health benefit plans available to meet the individual needs of consumers, and improve affordability.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715</w:t>
      </w:r>
      <w:r>
        <w:rPr/>
        <w:t xml:space="preserve"> and 2013 c 325 s 1 are each amended to read as follows:</w:t>
      </w:r>
    </w:p>
    <w:p>
      <w:pPr>
        <w:spacing w:before="0" w:after="0" w:line="408" w:lineRule="exact"/>
        <w:ind w:left="0" w:right="0" w:firstLine="576"/>
        <w:jc w:val="left"/>
      </w:pPr>
      <w:r>
        <w:rPr/>
        <w:t xml:space="preserve">(1) Consistent with federal law, the commissioner, in consultation with the board and the health care authority, shall, by rule, select the largest small group plan in the state by enrollment as the benchmark plan for the individual and small group market for purposes of establishing the essential health benefits in Washington state under P.L. 111-148 of 2010, as amended.</w:t>
      </w:r>
    </w:p>
    <w:p>
      <w:pPr>
        <w:spacing w:before="0" w:after="0" w:line="408" w:lineRule="exact"/>
        <w:ind w:left="0" w:right="0" w:firstLine="576"/>
        <w:jc w:val="left"/>
      </w:pPr>
      <w:r>
        <w:rPr/>
        <w:t xml:space="preserve">(2) If the essential health benefits benchmark plan for the individual and small group market does not include all of the ten benefit categories specified by section 1302 of P.L. 111-148, as amended, the commissioner, in consultation with the board and the health care authority, shall, by rule, supplement the benchmark plan benefits as needed to meet the minimum requirements of section 1302.</w:t>
      </w:r>
    </w:p>
    <w:p>
      <w:pPr>
        <w:spacing w:before="0" w:after="0" w:line="408" w:lineRule="exact"/>
        <w:ind w:left="0" w:right="0" w:firstLine="576"/>
        <w:jc w:val="left"/>
      </w:pPr>
      <w:r>
        <w:rPr/>
        <w:t xml:space="preserve">(3) A health plan required to offer the essential health benefits, other than a health plan offered through the federal basic health program or medicaid, under P.L. 111-148 of 2010, as amended, may not be offered in the state unless the commissioner finds that it is substantially equal to the benchmark plan. When making this determination, the commissioner:</w:t>
      </w:r>
    </w:p>
    <w:p>
      <w:pPr>
        <w:spacing w:before="0" w:after="0" w:line="408" w:lineRule="exact"/>
        <w:ind w:left="0" w:right="0" w:firstLine="576"/>
        <w:jc w:val="left"/>
      </w:pPr>
      <w:r>
        <w:rPr/>
        <w:t xml:space="preserve">(a) Must ensure that the plan covers the ten essential health benefits categories specified in section 1302 of P.L. 111-148 of 2010, as amended;</w:t>
      </w:r>
    </w:p>
    <w:p>
      <w:pPr>
        <w:spacing w:before="0" w:after="0" w:line="408" w:lineRule="exact"/>
        <w:ind w:left="0" w:right="0" w:firstLine="576"/>
        <w:jc w:val="left"/>
      </w:pPr>
      <w:r>
        <w:rPr/>
        <w:t xml:space="preserve">(b) May consider whether the health plan has a benefit design that would create a risk of biased selection based on health status and whether the health plan contains meaningful scope and level of benefits in each of the ten essential health benefit categories specified by section 1302 of P.L. 111-148 of 2010, as amended;</w:t>
      </w:r>
    </w:p>
    <w:p>
      <w:pPr>
        <w:spacing w:before="0" w:after="0" w:line="408" w:lineRule="exact"/>
        <w:ind w:left="0" w:right="0" w:firstLine="576"/>
        <w:jc w:val="left"/>
      </w:pPr>
      <w:r>
        <w:rPr/>
        <w:t xml:space="preserve">(c) Notwithstanding </w:t>
      </w:r>
      <w:r>
        <w:t>((</w:t>
      </w:r>
      <w:r>
        <w:rPr>
          <w:strike/>
        </w:rPr>
        <w:t xml:space="preserve">the foregoing</w:t>
      </w:r>
      <w:r>
        <w:t>))</w:t>
      </w:r>
      <w:r>
        <w:rPr/>
        <w:t xml:space="preserve"> </w:t>
      </w:r>
      <w:r>
        <w:rPr>
          <w:u w:val="single"/>
        </w:rPr>
        <w:t xml:space="preserve">this subsection (3)</w:t>
      </w:r>
      <w:r>
        <w:rPr/>
        <w:t xml:space="preserve">, for benefit years beginning January 1, 2015, and only to the extent permitted by federal law and guidance, must establish by rule the review and approval requirements and procedures for pediatric oral services when offered in stand-alone dental plans in the nongrandfathered individual and small group markets outside of the exchange; and</w:t>
      </w:r>
    </w:p>
    <w:p>
      <w:pPr>
        <w:spacing w:before="0" w:after="0" w:line="408" w:lineRule="exact"/>
        <w:ind w:left="0" w:right="0" w:firstLine="576"/>
        <w:jc w:val="left"/>
      </w:pPr>
      <w:r>
        <w:rPr/>
        <w:t xml:space="preserve">(d) Unless prohibited by federal law and guidance, must allow health carriers to also offer pediatric oral services within the health benefit plan in the nongrandfathered individual and small group markets outside of the exchange.</w:t>
      </w:r>
    </w:p>
    <w:p>
      <w:pPr>
        <w:spacing w:before="0" w:after="0" w:line="408" w:lineRule="exact"/>
        <w:ind w:left="0" w:right="0" w:firstLine="576"/>
        <w:jc w:val="left"/>
      </w:pPr>
      <w:r>
        <w:rPr/>
        <w:t xml:space="preserve">(4) Beginning December 15, 2012, and every year thereafter, the commissioner shall submit to the legislature a list of state-mandated health benefits, the enforcement of which will result in federally imposed costs to the state related to the plans sold through the exchange because the benefits are not included in the essential health benefits designated under federal law. The list must include the anticipated costs to the state of each state-mandated health benefit on the list and any statutory changes needed if funds are not appropriated to defray the state costs for the listed mandate. The commissioner may enforce a mandate on the list for the entire market only if funds are appropriated in an omnibus appropriations act specifically to pay the state portion of the identified costs.</w:t>
      </w:r>
    </w:p>
    <w:p>
      <w:pPr>
        <w:spacing w:before="0" w:after="0" w:line="408" w:lineRule="exact"/>
        <w:ind w:left="0" w:right="0" w:firstLine="576"/>
        <w:jc w:val="left"/>
      </w:pPr>
      <w:r>
        <w:rPr>
          <w:u w:val="single"/>
        </w:rPr>
        <w:t xml:space="preserve">(5) Commercial health benefit plans offered in the individual and small group markets are exempt from all state mandated benefits beyond those required by the federal government as the ten essential health benefits specified in section 1302 of P.L. 111-148 of 2010.</w:t>
      </w:r>
    </w:p>
    <w:p/>
    <w:p>
      <w:pPr>
        <w:jc w:val="center"/>
      </w:pPr>
      <w:r>
        <w:rPr>
          <w:b/>
        </w:rPr>
        <w:t>--- END ---</w:t>
      </w:r>
    </w:p>
    <w:sectPr>
      <w:pgNumType w:start="1"/>
      <w:footerReference xmlns:r="http://schemas.openxmlformats.org/officeDocument/2006/relationships" r:id="R21e437cf068a44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c7a37caf2e4e6e" /><Relationship Type="http://schemas.openxmlformats.org/officeDocument/2006/relationships/footer" Target="/word/footer.xml" Id="R21e437cf068a4413" /></Relationships>
</file>