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4abcf25e634b95" /></Relationships>
</file>

<file path=word/document.xml><?xml version="1.0" encoding="utf-8"?>
<w:document xmlns:w="http://schemas.openxmlformats.org/wordprocessingml/2006/main">
  <w:body>
    <w:p>
      <w:r>
        <w:t>S-3452.2</w:t>
      </w:r>
    </w:p>
    <w:p>
      <w:pPr>
        <w:jc w:val="center"/>
      </w:pPr>
      <w:r>
        <w:t>_______________________________________________</w:t>
      </w:r>
    </w:p>
    <w:p/>
    <w:p>
      <w:pPr>
        <w:jc w:val="center"/>
      </w:pPr>
      <w:r>
        <w:rPr>
          <w:b/>
        </w:rPr>
        <w:t>SUBSTITUTE SENATE BILL 5648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 Rolfes)</w:t>
      </w:r>
    </w:p>
    <w:p/>
    <w:p>
      <w:r>
        <w:rPr>
          <w:t xml:space="preserve">READ FIRST TIME 01/12/18.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vehicular homicide, barring use of the defense of driving while under fatigue, drowsiness, or sleep, and increasing the time period for license suspension; amending RCW 46.61.520 and 46.20.285;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520</w:t>
      </w:r>
      <w:r>
        <w:rPr/>
        <w:t xml:space="preserve"> and 1998 c 211 s 2 are each amended to read as follows:</w:t>
      </w:r>
    </w:p>
    <w:p>
      <w:pPr>
        <w:spacing w:before="0" w:after="0" w:line="408" w:lineRule="exact"/>
        <w:ind w:left="0" w:right="0" w:firstLine="576"/>
        <w:jc w:val="left"/>
      </w:pPr>
      <w:r>
        <w:rPr/>
        <w:t xml:space="preserve">(1) When the death of any person ensues within three years as a proximate result of injury proximately caused by the driving of any vehicle by any person, the driver is guilty of vehicular homicide if the driver was operating a motor vehicle:</w:t>
      </w:r>
    </w:p>
    <w:p>
      <w:pPr>
        <w:spacing w:before="0" w:after="0" w:line="408" w:lineRule="exact"/>
        <w:ind w:left="0" w:right="0" w:firstLine="576"/>
        <w:jc w:val="left"/>
      </w:pPr>
      <w:r>
        <w:rPr/>
        <w:t xml:space="preserve">(a) While under the influence of intoxicating liquor or any drug, as defined by RCW 46.61.502; or</w:t>
      </w:r>
    </w:p>
    <w:p>
      <w:pPr>
        <w:spacing w:before="0" w:after="0" w:line="408" w:lineRule="exact"/>
        <w:ind w:left="0" w:right="0" w:firstLine="576"/>
        <w:jc w:val="left"/>
      </w:pPr>
      <w:r>
        <w:rPr/>
        <w:t xml:space="preserve">(b) In a reckless manner; or</w:t>
      </w:r>
    </w:p>
    <w:p>
      <w:pPr>
        <w:spacing w:before="0" w:after="0" w:line="408" w:lineRule="exact"/>
        <w:ind w:left="0" w:right="0" w:firstLine="576"/>
        <w:jc w:val="left"/>
      </w:pPr>
      <w:r>
        <w:rPr/>
        <w:t xml:space="preserve">(c) With disregard for the safety of others</w:t>
      </w:r>
      <w:r>
        <w:rPr>
          <w:u w:val="single"/>
        </w:rPr>
        <w:t xml:space="preserve">, or while impaired by fatigue. For the purposes of this subsection, "impaired by fatigue" means a person who operates a motor vehicle while having been without sleep for a period of twenty-four consecutive hours, while having been without sleep for twenty-four consecutive hours and the person is in the state of sleep, or while the person's ability or alertness is so impaired by fatigue as to make it unsafe to begin or continue to operate a motor vehicle</w:t>
      </w:r>
      <w:r>
        <w:rPr/>
        <w:t xml:space="preserve">.</w:t>
      </w:r>
    </w:p>
    <w:p>
      <w:pPr>
        <w:spacing w:before="0" w:after="0" w:line="408" w:lineRule="exact"/>
        <w:ind w:left="0" w:right="0" w:firstLine="576"/>
        <w:jc w:val="left"/>
      </w:pPr>
      <w:r>
        <w:rPr/>
        <w:t xml:space="preserve">(2) Vehicular homicide is a class A felony punishable under chapter 9A.20 RCW, except that, for a conviction under subsection (1)(a) of this section, an additional two years shall be added to the sentence for each prior offense as defined in RCW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285</w:t>
      </w:r>
      <w:r>
        <w:rPr/>
        <w:t xml:space="preserve"> and 2005 c 288 s 4 are each amended to read as follows:</w:t>
      </w:r>
    </w:p>
    <w:p>
      <w:pPr>
        <w:spacing w:before="0" w:after="0" w:line="408" w:lineRule="exact"/>
        <w:ind w:left="0" w:right="0" w:firstLine="576"/>
        <w:jc w:val="left"/>
      </w:pPr>
      <w:r>
        <w:rPr/>
        <w:t xml:space="preserve">The department shall revoke the license of any driver for the period of one calendar year unless otherwise provided in this section, upon receiving a record of the driver's conviction of any of the following offenses, when the conviction has become final:</w:t>
      </w:r>
    </w:p>
    <w:p>
      <w:pPr>
        <w:spacing w:before="0" w:after="0" w:line="408" w:lineRule="exact"/>
        <w:ind w:left="0" w:right="0" w:firstLine="576"/>
        <w:jc w:val="left"/>
      </w:pPr>
      <w:r>
        <w:rPr/>
        <w:t xml:space="preserve">(1) For vehicular homicide the period of revocation shall be </w:t>
      </w:r>
      <w:r>
        <w:t>((</w:t>
      </w:r>
      <w:r>
        <w:rPr>
          <w:strike/>
        </w:rPr>
        <w:t xml:space="preserve">two</w:t>
      </w:r>
      <w:r>
        <w:t>))</w:t>
      </w:r>
      <w:r>
        <w:rPr/>
        <w:t xml:space="preserve"> </w:t>
      </w:r>
      <w:r>
        <w:rPr>
          <w:u w:val="single"/>
        </w:rPr>
        <w:t xml:space="preserve">five</w:t>
      </w:r>
      <w:r>
        <w:rPr/>
        <w:t xml:space="preserve"> years. The revocation period shall be tolled during any period of total confinement for the offense;</w:t>
      </w:r>
    </w:p>
    <w:p>
      <w:pPr>
        <w:spacing w:before="0" w:after="0" w:line="408" w:lineRule="exact"/>
        <w:ind w:left="0" w:right="0" w:firstLine="576"/>
        <w:jc w:val="left"/>
      </w:pPr>
      <w:r>
        <w:rPr/>
        <w:t xml:space="preserve">(2) Vehicular assault. The revocation period shall be tolled during any period of total confinement for the offense;</w:t>
      </w:r>
    </w:p>
    <w:p>
      <w:pPr>
        <w:spacing w:before="0" w:after="0" w:line="408" w:lineRule="exact"/>
        <w:ind w:left="0" w:right="0" w:firstLine="576"/>
        <w:jc w:val="left"/>
      </w:pPr>
      <w:r>
        <w:rPr/>
        <w:t xml:space="preserve">(3) Driving a motor vehicle while under the influence of intoxicating liquor or a narcotic drug, or under the influence of any other drug to a degree which renders the driver incapable of safely driving a motor vehicle, for the period prescribed in RCW 46.61.5055;</w:t>
      </w:r>
    </w:p>
    <w:p>
      <w:pPr>
        <w:spacing w:before="0" w:after="0" w:line="408" w:lineRule="exact"/>
        <w:ind w:left="0" w:right="0" w:firstLine="576"/>
        <w:jc w:val="left"/>
      </w:pPr>
      <w:r>
        <w:rPr/>
        <w:t xml:space="preserve">(4) Any felony in the commission of which a motor vehicle is used;</w:t>
      </w:r>
    </w:p>
    <w:p>
      <w:pPr>
        <w:spacing w:before="0" w:after="0" w:line="408" w:lineRule="exact"/>
        <w:ind w:left="0" w:right="0" w:firstLine="576"/>
        <w:jc w:val="left"/>
      </w:pPr>
      <w:r>
        <w:rPr/>
        <w:t xml:space="preserve">(5) Failure to stop and give information or render aid as required under the laws of this state in the event of a motor vehicle accident resulting in the death or personal injury of another or resulting in damage to a vehicle that is driven or attended by another;</w:t>
      </w:r>
    </w:p>
    <w:p>
      <w:pPr>
        <w:spacing w:before="0" w:after="0" w:line="408" w:lineRule="exact"/>
        <w:ind w:left="0" w:right="0" w:firstLine="576"/>
        <w:jc w:val="left"/>
      </w:pPr>
      <w:r>
        <w:rPr/>
        <w:t xml:space="preserve">(6) Perjury or the making of a false affidavit or statement under oath to the department under Title 46 RCW or under any other law relating to the ownership or operation of motor vehicles;</w:t>
      </w:r>
    </w:p>
    <w:p>
      <w:pPr>
        <w:spacing w:before="0" w:after="0" w:line="408" w:lineRule="exact"/>
        <w:ind w:left="0" w:right="0" w:firstLine="576"/>
        <w:jc w:val="left"/>
      </w:pPr>
      <w:r>
        <w:rPr/>
        <w:t xml:space="preserve">(7) Reckless driving upon a showing by the department's records that the conviction is the third such conviction for the driver within a period of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install, or reinstall </w:t>
            </w:r>
            <w:r>
              <w:rPr>
                <w:rFonts w:ascii="Times New Roman" w:hAnsi="Times New Roman"/>
                <w:sz w:val="20"/>
                <w:u w:val="single"/>
              </w:rPr>
              <w:t xml:space="preserve">of</w:t>
            </w:r>
            <w:r>
              <w:rPr>
                <w:rFonts w:ascii="Times New Roman" w:hAnsi="Times New Roman"/>
                <w:sz w:val="20"/>
              </w:rPr>
              <w:t xml:space="preserve">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w:t>
            </w:r>
            <w:r>
              <w:rPr>
                <w:rFonts w:ascii="Times New Roman" w:hAnsi="Times New Roman"/>
                <w:sz w:val="20"/>
                <w:u w:val="single"/>
              </w:rPr>
              <w:t xml:space="preserve">, or while impaired by fatigue</w:t>
            </w:r>
            <w:r>
              <w:rPr>
                <w:rFonts w:ascii="Times New Roman" w:hAnsi="Times New Roman"/>
                <w:sz w:val="20"/>
              </w:rPr>
              <w:t xml:space="preserve">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install, or reinstall </w:t>
            </w:r>
            <w:r>
              <w:rPr>
                <w:rFonts w:ascii="Times New Roman" w:hAnsi="Times New Roman"/>
                <w:sz w:val="20"/>
                <w:u w:val="single"/>
              </w:rPr>
              <w:t xml:space="preserve">of</w:t>
            </w:r>
            <w:r>
              <w:rPr>
                <w:rFonts w:ascii="Times New Roman" w:hAnsi="Times New Roman"/>
                <w:sz w:val="20"/>
              </w:rPr>
              <w:t xml:space="preserve">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ee432b4463d348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b60f533af646d7" /><Relationship Type="http://schemas.openxmlformats.org/officeDocument/2006/relationships/footer" Target="/word/footer.xml" Id="Ree432b4463d34862" /></Relationships>
</file>