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4aeee4f0c469e" /></Relationships>
</file>

<file path=word/document.xml><?xml version="1.0" encoding="utf-8"?>
<w:document xmlns:w="http://schemas.openxmlformats.org/wordprocessingml/2006/main">
  <w:body>
    <w:p>
      <w:r>
        <w:t>S-0800.3</w:t>
      </w:r>
    </w:p>
    <w:p>
      <w:pPr>
        <w:jc w:val="center"/>
      </w:pPr>
      <w:r>
        <w:t>_______________________________________________</w:t>
      </w:r>
    </w:p>
    <w:p/>
    <w:p>
      <w:pPr>
        <w:jc w:val="center"/>
      </w:pPr>
      <w:r>
        <w:rPr>
          <w:b/>
        </w:rPr>
        <w:t>SENATE BILL 5669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Walsh, and Mullet</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laboratories; adding new sections to chapter 18.32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this act:</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(4)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(5)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in this state shall register with the commission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written authorization originating within this state.</w:t>
      </w:r>
    </w:p>
    <w:p>
      <w:pPr>
        <w:spacing w:before="0" w:after="0" w:line="408" w:lineRule="exact"/>
        <w:ind w:left="0" w:right="0" w:firstLine="576"/>
        <w:jc w:val="left"/>
      </w:pPr>
      <w:r>
        <w:rPr/>
        <w:t xml:space="preserve">(3) This section does not apply to a dental laboratory operating in-office under the direct supervision of a practicing dentist licensed under this chapter, or in an educational institution as part of the institution's educational program provided that the laboratory does not also perform work pursuant to prescriptions or work orders originating from outside of the educational institution or supervising dentist's office. In order that such laboratory may receive any health or safety advisories, it must provide the commission with the name of the supervising dentist and other relevant contact information in the same manner required of registered dental laboratories.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within this state must submit an application for registration of dental laboratory or renewal of registration of dental laboratory to the commission on a form provided by the commission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laboratory;</w:t>
      </w:r>
    </w:p>
    <w:p>
      <w:pPr>
        <w:spacing w:before="0" w:after="0" w:line="408" w:lineRule="exact"/>
        <w:ind w:left="0" w:right="0" w:firstLine="576"/>
        <w:jc w:val="left"/>
      </w:pPr>
      <w:r>
        <w:rPr/>
        <w:t xml:space="preserve">(b) The physical address of the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this chapter;</w:t>
      </w:r>
    </w:p>
    <w:p>
      <w:pPr>
        <w:spacing w:before="0" w:after="0" w:line="408" w:lineRule="exact"/>
        <w:ind w:left="0" w:right="0" w:firstLine="576"/>
        <w:jc w:val="left"/>
      </w:pPr>
      <w:r>
        <w:rPr/>
        <w:t xml:space="preserve">(d) A statement that the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 The registration fee shall not exceed two hundred fifty dollars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granting of a registration, the commission shall assign to that laboratory a dental registration number. The laboratory registration number must appear on all invoices or other correspondence of the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Effective January 31, 2018, to be eligible for dental laboratory registration the applicant must document that the applicant or one of the applicant's employees who works at least thirty hours per week in the applicant's dental laboratory, has either: (a) Successfully completed at least twelve hours of continuing education in dental laboratory technology approved by the national board for certification in dental laboratory technology during the twelve months immediately preceding their application for registration; or (b)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2023, the commission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it is operated under the supervision of a dentist licensed under this chapter.</w:t>
      </w:r>
    </w:p>
    <w:p>
      <w:pPr>
        <w:spacing w:before="0" w:after="0" w:line="408" w:lineRule="exact"/>
        <w:ind w:left="0" w:right="0" w:firstLine="576"/>
        <w:jc w:val="left"/>
      </w:pPr>
      <w:r>
        <w:rPr/>
        <w:t xml:space="preserve">(b) (a) of this subsection does not apply to a dental laboratory that provides the commission with documentation that the dental laboratory has been continuously owned and operated by the same individual since January 1,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Each dental laboratory registered with the commission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If a dental laboratory violates any provision of this act, it is subject to disciplinary action pursuant to this chapter.</w:t>
      </w:r>
    </w:p>
    <w:p/>
    <w:p>
      <w:pPr>
        <w:jc w:val="center"/>
      </w:pPr>
      <w:r>
        <w:rPr>
          <w:b/>
        </w:rPr>
        <w:t>--- END ---</w:t>
      </w:r>
    </w:p>
    <w:sectPr>
      <w:pgNumType w:start="1"/>
      <w:footerReference xmlns:r="http://schemas.openxmlformats.org/officeDocument/2006/relationships" r:id="Re6f199573b374c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b4fb64bf342bd" /><Relationship Type="http://schemas.openxmlformats.org/officeDocument/2006/relationships/footer" Target="/word/footer.xml" Id="Re6f199573b374c8f" /></Relationships>
</file>