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6c7203a9043c9" /></Relationships>
</file>

<file path=word/document.xml><?xml version="1.0" encoding="utf-8"?>
<w:document xmlns:w="http://schemas.openxmlformats.org/wordprocessingml/2006/main">
  <w:body>
    <w:p>
      <w:r>
        <w:t>S-1033.2</w:t>
      </w:r>
    </w:p>
    <w:p>
      <w:pPr>
        <w:jc w:val="center"/>
      </w:pPr>
      <w:r>
        <w:t>_______________________________________________</w:t>
      </w:r>
    </w:p>
    <w:p/>
    <w:p>
      <w:pPr>
        <w:jc w:val="center"/>
      </w:pPr>
      <w:r>
        <w:rPr>
          <w:b/>
        </w:rPr>
        <w:t>SENATE BILL 5747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Kuderer, Chase, and Saldaña</w:t>
      </w:r>
    </w:p>
    <w:p/>
    <w:p>
      <w:r>
        <w:rPr>
          <w:t xml:space="preserve">Read first time 02/07/17.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financing and development of a publicly sponsored integrated delivery system such as the veterans affairs system to ensure access for all; amending RCW 41.05.130, 66.24.290, 82.24.020, 82.26.020, 82.08.150, 43.79.480, and 41.05.220; reenacting and amending RCW 41.05.120; adding new sections to chapter 82.02 RCW; adding a new chapter to Title 43 RCW; creating new sections; repealing RCW 82.04.260 and 48.14.0201;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this time of uncertainty affecting the future options for thousands of Washingtonians to retain their health care coverage, </w:t>
      </w:r>
      <w:r>
        <w:rPr/>
        <w:t xml:space="preserve">the people of the state of Washington declare their intention to create a single health financing entity called the Washington access for all trust to simplify health care financing and eliminate administrative waste while extending health care coverage to all residents as a basic human need that is essential for a productive society. Through public hearings, research, and consensus building, the trust will: (1) Provide fair, simple, and accountable health care financing for all Washington residents using a single health care financing entity; (2) cover a comprehensive package of effective and necessary personal health services; (3) make health care coverage independent from employment; (4) eliminate excessive administrative costs resulting from the current fragmented system of multiple insurers; (5) generate savings sufficient to ensure coverage for all Washington residents; (6) integrate current publicly sponsored health programs into the access for all trust; (7) preserve choice of providers for Washington residents; (8) protect patient rights; (9) keep clinical decisions in the hands of health professionals and patients, rather than administrative personnel; (10) promote health care quality; and (11) control excessive health care costs. Creating a streamlined, single health care financing approach can also lift the burden from employers of funding health care costs for insurance as well as the costs of a separate medical system for injured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access for all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access for all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access for all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shall be governed by a board of trustees. The board consists of nine trustees selected for expertise in health care financing and delivery, and representing Washington citizens, business, labor, and health professions. The initial trustees shall be appointed by the governor, subject to confirmation by the senate. The governor shall appoint the initial board by December 31, 2017. Of the initial trustees, three shall be appointed to terms of two years, three shall be appointed to terms of four years, and three shall be appointed to terms of six years. Thereafter, trustees shall be elected to six-year terms, one trustee from each congressional district; the first class of trustees shall be elected from the first, second, and ninth congressional districts; the second class from the third, seventh, and eighth congressional districts; and the third class from the fourth, fifth, and sixth congressional districts. The governor shall appoint a trustee to serve the remaining term for a vacancy from any cause. The initial board shall convene no later than March 15, 2018.</w:t>
      </w:r>
    </w:p>
    <w:p>
      <w:pPr>
        <w:spacing w:before="0" w:after="0" w:line="408" w:lineRule="exact"/>
        <w:ind w:left="0" w:right="0" w:firstLine="576"/>
        <w:jc w:val="left"/>
      </w:pPr>
      <w:r>
        <w:rPr/>
        <w:t xml:space="preserve">(2) Members of the board shall have no pecuniary interest in any business subject to regulation by the board. Members of the board are subject to chapter 42.52 RCW.</w:t>
      </w:r>
    </w:p>
    <w:p>
      <w:pPr>
        <w:spacing w:before="0" w:after="0" w:line="408" w:lineRule="exact"/>
        <w:ind w:left="0" w:right="0" w:firstLine="576"/>
        <w:jc w:val="left"/>
      </w:pPr>
      <w:r>
        <w:rPr/>
        <w:t xml:space="preserve">(3) The initial, appointed members of the board shall occupy their positions on a full-time basis and are exempt from the provisions of chapter 41.06 RCW. The elected trustees shall occupy their positions according to the bylaws, rules, and relevant governing documents of the board. The board and its professional staff are subject to the public disclosure provisions of chapter 42.17A RCW. Trustees shall be paid a salary to be fixed by the governor in accordance with RCW 43.03.040. Five trustees constitute a quorum for the conduct of business.</w:t>
      </w:r>
    </w:p>
    <w:p>
      <w:pPr>
        <w:spacing w:before="0" w:after="0" w:line="408" w:lineRule="exact"/>
        <w:ind w:left="0" w:right="0" w:firstLine="576"/>
        <w:jc w:val="left"/>
      </w:pPr>
      <w:r>
        <w:rPr/>
        <w:t xml:space="preserve">(4) One member of the board shall be designated by the governor as chair, subject to confirmation by a majority of the other trustees. The chair shall serve in this capacity, subject to continuing confidence of a majority of the board.</w:t>
      </w:r>
    </w:p>
    <w:p>
      <w:pPr>
        <w:spacing w:before="0" w:after="0" w:line="408" w:lineRule="exact"/>
        <w:ind w:left="0" w:right="0" w:firstLine="576"/>
        <w:jc w:val="left"/>
      </w:pPr>
      <w:r>
        <w:rPr/>
        <w:t xml:space="preserve">(5) If convinced by a preponderance of the evidence in a due process hearing that a trustee has failed to perform required duties or has a conflict with the public interest, the governor may remove that trustee and appoint another to serve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access for all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access for all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 The executive director, with approval of the board, shall employ staff in accordance with chapter 41.06 RCW necessary to execute the policies and decisions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seek all necessary waivers so that (i) current federal and state payments for health services to residents will be paid directly to the trust, and (ii) the trust complies with the federal patient protection and affordable care act; (c) request legislation authorizing the assessments and premiums necessary to operate the trust and make rules, policies, guidelines, and timetables needed for the trust to finance the set of health services for all residents starting May 15, 2020;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(n) develop an annual budget for the trust; (o) develop a plan to implement a publicly sponsored integrated delivery system in which residents would receive care from state-employed providers in state-owned and operated facilities or from nonprofit entities contracting with the state; and (p) comply with all insurance related provisions of the federal patient protection and affordable care act.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May 15, 2019, the board shall adopt, in consultation with the office of financial management, an annual Washington access for all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methods for electing trustees and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Private health insurance coverage is not allowed as a substitute for the universal plan, as all residents are covered by the trust; however, supplemental coverage is allowed.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assessment defined under section 16 of this act; and (c) either the employer or the employee pays the premium under section 17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access for all trust, employees covered under the trusts are not eligible for coverage through the access for all trust unless: (a) The employee's pay is considered in calculating the employer's assessment defined under section 16 of this act; and (b) either the employer or the employee pays the premium under section 17 of this act. </w:t>
      </w:r>
    </w:p>
    <w:p>
      <w:pPr>
        <w:spacing w:before="0" w:after="0" w:line="408" w:lineRule="exact"/>
        <w:ind w:left="0" w:right="0" w:firstLine="576"/>
        <w:jc w:val="left"/>
      </w:pPr>
      <w:r>
        <w:rPr/>
        <w:t xml:space="preserve">(6) Pending integration of federally qualified trusts into the access for all trust, residents who are retirees covered under the trusts are not eligible for coverage through the access for all trust unless they pay the premium under section 17 of this act.</w:t>
      </w:r>
    </w:p>
    <w:p>
      <w:pPr>
        <w:spacing w:before="0" w:after="0" w:line="408" w:lineRule="exact"/>
        <w:ind w:left="0" w:right="0" w:firstLine="576"/>
        <w:jc w:val="left"/>
      </w:pPr>
      <w:r>
        <w:rPr/>
        <w:t xml:space="preserve">(7) Pending integration into the access for all trust of applicable federal programs described in section 21 of this act, Native American residents are not eligible for coverage through the access for all trust unless: (a) The resident's pay is considered in calculating the employer's assessment under section 16 of this act; and (b) either the employer or the resident pays any premium due under section 17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by the United States department of health and human services pursuant to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May 15, 2022.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May 15, 2022, possible remedies for residents who have made previous payments for long-term care insurance.</w:t>
      </w:r>
    </w:p>
    <w:p>
      <w:pPr>
        <w:spacing w:before="0" w:after="0" w:line="408" w:lineRule="exact"/>
        <w:ind w:left="0" w:right="0" w:firstLine="576"/>
        <w:jc w:val="left"/>
      </w:pPr>
      <w:r>
        <w:rPr/>
        <w:t xml:space="preserve">(5) Except where otherwise prohibited by federal law, the board shall establish copayments for outpatient visits, emergency room visits, and prescription drugs for residents with incomes above one hundred fifty percent of the federal poverty level. There shall be an annual cap of five hundred dollars per family. </w:t>
      </w:r>
    </w:p>
    <w:p>
      <w:pPr>
        <w:spacing w:before="0" w:after="0" w:line="408" w:lineRule="exact"/>
        <w:ind w:left="0" w:right="0" w:firstLine="576"/>
        <w:jc w:val="left"/>
      </w:pPr>
      <w:r>
        <w:rPr/>
        <w:t xml:space="preserve">(6) The board shall submit to the legislature by July 1, 2020, a plan to incorporate dental care coverage in the benefits package, to be effective January 1, 2021.</w:t>
      </w:r>
    </w:p>
    <w:p>
      <w:pPr>
        <w:spacing w:before="0" w:after="0" w:line="408" w:lineRule="exact"/>
        <w:ind w:left="0" w:right="0" w:firstLine="576"/>
        <w:jc w:val="left"/>
      </w:pPr>
      <w:r>
        <w:rPr/>
        <w:t xml:space="preserve">(7) The board shall submit to the governor and legislature by December 1, 2018, and by December 1st of the following years: (a) The benefits package, and (b) an actuarial analysis of the cost of the package.</w:t>
      </w:r>
    </w:p>
    <w:p>
      <w:pPr>
        <w:spacing w:before="0" w:after="0" w:line="408" w:lineRule="exact"/>
        <w:ind w:left="0" w:right="0" w:firstLine="576"/>
        <w:jc w:val="left"/>
      </w:pPr>
      <w:r>
        <w:rPr/>
        <w:t xml:space="preserve">(8) The board shall consider the extent to which medical research and health professions training activities should be included in the scope of covered activities set forth in this act. The board shall make a report to the governor and the legislature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In addition to and not in lieu of taxes imposed at the rates established under chapter 82.04 RCW, all Washington state employers shall pay an assessment to the department of revenue to fund the Washington access for all trust created in section 3 of this act. </w:t>
      </w:r>
    </w:p>
    <w:p>
      <w:pPr>
        <w:spacing w:before="0" w:after="0" w:line="408" w:lineRule="exact"/>
        <w:ind w:left="0" w:right="0" w:firstLine="576"/>
        <w:jc w:val="left"/>
      </w:pPr>
      <w:r>
        <w:rPr/>
        <w:t xml:space="preserve">(1) Effective May 15, 2019, all employers in Washington state shall pay in quarterly installments an assessment on aggregate gross payroll paid to Washington state residents. Except as provided in this section, the assessment shall be: (a) A first step percentage of aggregate gross quarterly payroll up to, and including, one hundred twenty-five thousand dollars; (b) a second step percentage of the amount of aggregate gross quarterly payroll above one hundred twenty-five thousand dollars; and (c) the first step percentage rate shall be one-tenth of the rate of the second step percentage.</w:t>
      </w:r>
    </w:p>
    <w:p>
      <w:pPr>
        <w:spacing w:before="0" w:after="0" w:line="408" w:lineRule="exact"/>
        <w:ind w:left="0" w:right="0" w:firstLine="576"/>
        <w:jc w:val="left"/>
      </w:pPr>
      <w:r>
        <w:rPr/>
        <w:t xml:space="preserve">(2) The tax rates under subsection (1) of this section may be adjusted annually by the office of financial management to reflect changes in the Washington state consumer price index, or other cost-of-living index deemed appropriate by the office of financial management.</w:t>
      </w:r>
    </w:p>
    <w:p>
      <w:pPr>
        <w:spacing w:before="0" w:after="0" w:line="408" w:lineRule="exact"/>
        <w:ind w:left="0" w:right="0" w:firstLine="576"/>
        <w:jc w:val="left"/>
      </w:pPr>
      <w:r>
        <w:rPr/>
        <w:t xml:space="preserve">(3) The department of revenue shall assess a penalty at the rate of two percent per month, or a fraction thereof, on any employer whose applicable payroll assessment is not postmarked by the last day of the month following the quarter in which it is due.</w:t>
      </w:r>
    </w:p>
    <w:p>
      <w:pPr>
        <w:spacing w:before="0" w:after="0" w:line="408" w:lineRule="exact"/>
        <w:ind w:left="0" w:right="0" w:firstLine="576"/>
        <w:jc w:val="left"/>
      </w:pPr>
      <w:r>
        <w:rPr/>
        <w:t xml:space="preserve">(4) The federal government, when an employer of Washington state residents, is exempt from the assessment prior to the repeal, amendment, or waiver of existing state and federal laws delineated in section 21 of this act.</w:t>
      </w:r>
    </w:p>
    <w:p>
      <w:pPr>
        <w:spacing w:before="0" w:after="0" w:line="408" w:lineRule="exact"/>
        <w:ind w:left="0" w:right="0" w:firstLine="576"/>
        <w:jc w:val="left"/>
      </w:pPr>
      <w:r>
        <w:rPr/>
        <w:t xml:space="preserve">(5) Beginning May 15, 2019, until May 15, 2025, employers that face financial hardship in paying the assessment, may, upon application to the board of trustees created in section 4 of this act, be eligible for waivers or reductions in the assessment. The board shall establish rules and procedures governing all aspects of the business assistance program, including application procedures, thresholds regarding firm size, wages, profits, age of firm, and duration of assistance.</w:t>
      </w:r>
    </w:p>
    <w:p>
      <w:pPr>
        <w:spacing w:before="0" w:after="0" w:line="408" w:lineRule="exact"/>
        <w:ind w:left="0" w:right="0" w:firstLine="576"/>
        <w:jc w:val="left"/>
      </w:pPr>
      <w:r>
        <w:rPr/>
        <w:t xml:space="preserve">(6) Pending integration of any federally qualified trusts, the payroll of employees covered under these trusts is exempt from the assessment, although the employer may pay it voluntarily.</w:t>
      </w:r>
    </w:p>
    <w:p>
      <w:pPr>
        <w:spacing w:before="0" w:after="0" w:line="408" w:lineRule="exact"/>
        <w:ind w:left="0" w:right="0" w:firstLine="576"/>
        <w:jc w:val="left"/>
      </w:pPr>
      <w:r>
        <w:rPr/>
        <w:t xml:space="preserve">(7) Pending repeal, amendment, or waiver of applicable state and federal laws delineated in section 21 of this act, payroll of Native American residents who do not elect to participate in the access for all trust is exempt from the assessment.</w:t>
      </w:r>
    </w:p>
    <w:p>
      <w:pPr>
        <w:spacing w:before="0" w:after="0" w:line="408" w:lineRule="exact"/>
        <w:ind w:left="0" w:right="0" w:firstLine="576"/>
        <w:jc w:val="left"/>
      </w:pPr>
      <w:r>
        <w:rPr/>
        <w:t xml:space="preserve">(8) Eighty percent of the revenue collected under this section must be deposited in the benefits account created in section 24 of this act.</w:t>
      </w:r>
    </w:p>
    <w:p>
      <w:pPr>
        <w:spacing w:before="0" w:after="0" w:line="408" w:lineRule="exact"/>
        <w:ind w:left="0" w:right="0" w:firstLine="576"/>
        <w:jc w:val="left"/>
      </w:pPr>
      <w:r>
        <w:rPr/>
        <w:t xml:space="preserve">(9) For the purposes of this section, the terms "employer," "payroll," and "resident" have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Effective May 15, 2019, all Washington residents eighteen years and older, except medicare and medicaid beneficiaries, with incomes over one hundred fifty percent of the federal poverty level shall pay a standard monthly flat rate premium. The board shall recommend the amount of this premium, and the legislature shall establish the exact amount in separate legislation.</w:t>
      </w:r>
    </w:p>
    <w:p>
      <w:pPr>
        <w:spacing w:before="0" w:after="0" w:line="408" w:lineRule="exact"/>
        <w:ind w:left="0" w:right="0" w:firstLine="576"/>
        <w:jc w:val="left"/>
      </w:pPr>
      <w:r>
        <w:rPr/>
        <w:t xml:space="preserve">(2) Medicare and medicaid beneficiaries with incomes over one hundred fifty percent of the federal poverty level who elect to participate in the trust shall pay reduced, monthly, flat rate premium. The board shall recommend the amount of this premium, and the legislature shall establish the exact amount in separate legislation.</w:t>
      </w:r>
    </w:p>
    <w:p>
      <w:pPr>
        <w:spacing w:before="0" w:after="0" w:line="408" w:lineRule="exact"/>
        <w:ind w:left="0" w:right="0" w:firstLine="576"/>
        <w:jc w:val="left"/>
      </w:pPr>
      <w:r>
        <w:rPr/>
        <w:t xml:space="preserve">(3) All premiums may be adjusted annually by the office of financial management to reflect changes in the Washington state consumer price index, or other cost-of-living index deemed appropriate by the office of financial management.</w:t>
      </w:r>
    </w:p>
    <w:p>
      <w:pPr>
        <w:spacing w:before="0" w:after="0" w:line="408" w:lineRule="exact"/>
        <w:ind w:left="0" w:right="0" w:firstLine="576"/>
        <w:jc w:val="left"/>
      </w:pPr>
      <w:r>
        <w:rPr/>
        <w:t xml:space="preserve">(4) By May 15, 2019, the board of trustees of the Washington access for all trust, created in section 3 of this act, shall develop and implement specific rules and procedures to subsidize the premiums of residents, including medicare and medicaid eligible residents, whose household incomes are less than two hundred fifty percent of the federal poverty level.</w:t>
      </w:r>
    </w:p>
    <w:p>
      <w:pPr>
        <w:spacing w:before="0" w:after="0" w:line="408" w:lineRule="exact"/>
        <w:ind w:left="0" w:right="0" w:firstLine="576"/>
        <w:jc w:val="left"/>
      </w:pPr>
      <w:r>
        <w:rPr/>
        <w:t xml:space="preserve">(5) Federal employees and retirees are exempt from the premium prior to the repeal, amendment, or waiver of existing federal laws delineated in section 21 of this act, although they may elect to participate in the trust and pay it voluntarily.</w:t>
      </w:r>
    </w:p>
    <w:p>
      <w:pPr>
        <w:spacing w:before="0" w:after="0" w:line="408" w:lineRule="exact"/>
        <w:ind w:left="0" w:right="0" w:firstLine="576"/>
        <w:jc w:val="left"/>
      </w:pPr>
      <w:r>
        <w:rPr/>
        <w:t xml:space="preserve">(6) Pending integration of any federally qualified trusts, employees and retirees covered under these trusts are exempt from the premium, although they may elect to participate in the trust and the employee or the employer may pay it voluntarily.</w:t>
      </w:r>
    </w:p>
    <w:p>
      <w:pPr>
        <w:spacing w:before="0" w:after="0" w:line="408" w:lineRule="exact"/>
        <w:ind w:left="0" w:right="0" w:firstLine="576"/>
        <w:jc w:val="left"/>
      </w:pPr>
      <w:r>
        <w:rPr/>
        <w:t xml:space="preserve">(7) Pending repeal, amendment, or waiver of applicable state and federal laws delineated in section 21 of this act, Native American residents are exempt from paying the premium, although they may elect to participate in the trust and they or their employer may pay it voluntarily.</w:t>
      </w:r>
    </w:p>
    <w:p>
      <w:pPr>
        <w:spacing w:before="0" w:after="0" w:line="408" w:lineRule="exact"/>
        <w:ind w:left="0" w:right="0" w:firstLine="576"/>
        <w:jc w:val="left"/>
      </w:pPr>
      <w:r>
        <w:rPr/>
        <w:t xml:space="preserve">(8) Employers shall collect the premiums of their employees through payroll deduction. An employee may also make the premium payment for a nonworking spouse through payroll deduction. Self-employed and nonemployed individuals shall pay their premiums monthly to the department of revenue. The department shall assess an additional nominal fee, such as one dollar, on the monthly premium in lieu of an employer assessment, as well as a penalty at the rate of two percent per month, or fraction thereof, on all self-employed and nonemployed individuals whose premium is not postmarked by the twentieth day following the month it is due. Employers reserve the right to provide private health care coverage to employees; notwithstanding, employers must pay the assessment as provided in section 16 of this act.</w:t>
      </w:r>
    </w:p>
    <w:p>
      <w:pPr>
        <w:spacing w:before="0" w:after="0" w:line="408" w:lineRule="exact"/>
        <w:ind w:left="0" w:right="0" w:firstLine="576"/>
        <w:jc w:val="left"/>
      </w:pPr>
      <w:r>
        <w:rPr/>
        <w:t xml:space="preserve">(9) Retirees who receive retirement benefits from a former employer or a successor to the employer, other than in federally qualified trusts or through federal employment, may claim a credit against the premium otherwise due under this section, if all or a portion of the retirement benefits consists of health care benefits arising from a contract of health insurance entered into between the employer, or successor, and a health insurance provider.</w:t>
      </w:r>
    </w:p>
    <w:p>
      <w:pPr>
        <w:spacing w:before="0" w:after="0" w:line="408" w:lineRule="exact"/>
        <w:ind w:left="0" w:right="0" w:firstLine="576"/>
        <w:jc w:val="left"/>
      </w:pPr>
      <w:r>
        <w:rPr/>
        <w:t xml:space="preserve">(10) For the purposes of this section, the terms "employer," "federal poverty level," "income," and "resident" have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assessment, created in section 16 of this act, and the premium, created in section 17 of this act, shall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is hereby abolished and its powers, duties, and functions are hereby transferred to the Washington access for all trust. All references to the administrator or the health care authority in the Revised Code of Washington shall be construed to mean the chair or the Washington access for all trust.</w:t>
      </w:r>
    </w:p>
    <w:p>
      <w:pPr>
        <w:spacing w:before="0" w:after="0" w:line="408" w:lineRule="exact"/>
        <w:ind w:left="0" w:right="0" w:firstLine="576"/>
        <w:jc w:val="left"/>
      </w:pPr>
      <w:r>
        <w:rPr/>
        <w:t xml:space="preserve">(2)(a) All reports, documents, surveys, books, records, files, papers, or written material in the possession of the health care authority shall be delivered to the custody of the Washington access for all trust. All cabinets, furniture, office equipment, motor vehicles, and other tangible property employed by the health care authority shall be made available to the Washington access for all trust. All funds, credits, or other assets held by the health care authority shall be assigned to the Washington access for all trust.</w:t>
      </w:r>
    </w:p>
    <w:p>
      <w:pPr>
        <w:spacing w:before="0" w:after="0" w:line="408" w:lineRule="exact"/>
        <w:ind w:left="0" w:right="0" w:firstLine="576"/>
        <w:jc w:val="left"/>
      </w:pPr>
      <w:r>
        <w:rPr/>
        <w:t xml:space="preserve">(b) Any appropriations made to the health care authority shall, on the effective date of this section, be transferred and credited to the Washington access for all trust.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health care authority are transferred to the jurisdiction of the Washington access for all trust. All employees classified under chapter 41.06 RCW, the state civil service law, are assigned to the Washington access for all trust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health care authority shall be continued and acted upon by the Washington access for all trust. All existing contracts and obligations shall remain in full force and shall be performed by the Washington access for all trust.</w:t>
      </w:r>
    </w:p>
    <w:p>
      <w:pPr>
        <w:spacing w:before="0" w:after="0" w:line="408" w:lineRule="exact"/>
        <w:ind w:left="0" w:right="0" w:firstLine="576"/>
        <w:jc w:val="left"/>
      </w:pPr>
      <w:r>
        <w:rPr/>
        <w:t xml:space="preserve">(5) The transfer of the powers, duties, functions, and personnel of the health care authority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affected agencies,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Nothing contained in this section may be construed to alter any existing collective bargaining unit or the provisions of any existing collective bargaining agreement until the agreement has expired or until the bargaining unit has been modified by action of the personnel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2019, until April 30, 2019, all employers in Washington state shall pay reduced start-up assessments that are thirty percent of the standard monthly flat rate assessment amount to be established by separate legislation. The department of revenue will collect these moneys. Twenty percent of these revenues must be deposited in the reserve account, created in section 22 of this act. Eighty percent of these revenues must be deposited in the benefits account, created in section 24 of this act. Employers who pay this assessment may be eligible for partial or full rebates within two years, if there are sufficient surpluses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October 1, 2018.</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assessment, created in section 16 of this act, and the individual premiums, created in section 17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24 of this act.</w:t>
      </w:r>
    </w:p>
    <w:p>
      <w:pPr>
        <w:spacing w:before="0" w:after="0" w:line="408" w:lineRule="exact"/>
        <w:ind w:left="0" w:right="0" w:firstLine="576"/>
        <w:jc w:val="left"/>
      </w:pPr>
      <w:r>
        <w:rPr/>
        <w:t xml:space="preserve">(2) Receipts from the following sources must be deposited into the reserve account: (a) Twenty percent of the assessments paid by employers under section 20 of this act between January 1, 2019, and April 30, 2019; (b) effective May 15, 2019, seven percent of receipts from the assessment created under section 16 of this act and seven percent of the receipts from the premium created under section 17 of this act; and (c) ten percent of all moneys received pursuant to RCW 41.05.120, 41.05.130, 66.24.290, 82.24.020, 82.26.020, 82.08.150, 43.79.480, 41.05.220, and section 33 of this act.</w:t>
      </w:r>
    </w:p>
    <w:p>
      <w:pPr>
        <w:spacing w:before="0" w:after="0" w:line="408" w:lineRule="exact"/>
        <w:ind w:left="0" w:right="0" w:firstLine="576"/>
        <w:jc w:val="left"/>
      </w:pPr>
      <w:r>
        <w:rPr/>
        <w:t xml:space="preserve">(3)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Between May 15, 2019, and January 1, 2021, three percent of the receipts from the assessment created in section 16 of this act and three percent of the premium created in section 17 of this act must be deposited into the account.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December 31, 2021, must be deposited into the benefits account created in section 24 of this act.</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All receipts from the assessment created under section 16 of this act and the premium created under section 17 of this act that are not dedicated to the reserve account created in section 22 of this act or the displaced worker training account created in section 23 of this act, as well as receipts from other sources, must be deposited into the account.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w:t>
      </w:r>
      <w:r>
        <w:rPr>
          <w:u w:val="single"/>
        </w:rPr>
        <w:t xml:space="preserve">Contributions from RCW 41.05.050, and reserves, dividends, and refunds currently in t</w:t>
      </w:r>
      <w:r>
        <w:rPr/>
        <w:t xml:space="preserve">he public employees' and retirees' insurance account </w:t>
      </w:r>
      <w:r>
        <w:t>((</w:t>
      </w:r>
      <w:r>
        <w:rPr>
          <w:strike/>
        </w:rPr>
        <w:t xml:space="preserve">is hereby established in the custody of the state treasurer, to be used by the administrator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medical flexible spending account as authorized in RCW 41.05.123. Moneys from the account shall be disbursed by the state treasurer by warrants on vouchers duly authorized by the administrator. Moneys from the account may be transferred to the medical flexible spending account to provide reserves and start-up costs for the operation of the medical flexible spending account program.</w:t>
      </w:r>
    </w:p>
    <w:p>
      <w:pPr>
        <w:spacing w:before="0" w:after="0" w:line="408" w:lineRule="exact"/>
        <w:ind w:left="0" w:right="0" w:firstLine="576"/>
        <w:jc w:val="left"/>
      </w:pPr>
      <w:r>
        <w:rPr>
          <w:strike/>
        </w:rPr>
        <w:t xml:space="preserve">(2) The state treasurer and the state investment board may invest moneys in the public employees' and retirees' insurance account. All such investments shall be in accordance with RCW 43.84.080 or 43.84.150, whichever is applicable. The administrator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strike/>
        </w:rPr>
        <w:t xml:space="preserve">(3) During the 2005-07 fiscal biennium, the legislature may transfer from the public employees' and retirees' insurance account such amounts as reflect the excess fund balance of the fund</w:t>
      </w:r>
      <w:r>
        <w:t>))</w:t>
      </w:r>
      <w:r>
        <w:rPr/>
        <w:t xml:space="preserve"> </w:t>
      </w:r>
      <w:r>
        <w:rPr>
          <w:u w:val="single"/>
        </w:rPr>
        <w:t xml:space="preserve">must be deposited in the reserve account pursuant to section 22 of this act and the benefits account pursuant to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state health care authority administrative account is </w:t>
      </w:r>
      <w:r>
        <w:t>((</w:t>
      </w:r>
      <w:r>
        <w:rPr>
          <w:strike/>
        </w:rPr>
        <w:t xml:space="preserve">hereby created in the state treasury</w:t>
      </w:r>
      <w:r>
        <w:t>))</w:t>
      </w:r>
      <w:r>
        <w:rPr/>
        <w:t xml:space="preserve"> </w:t>
      </w:r>
      <w:r>
        <w:rPr>
          <w:u w:val="single"/>
        </w:rPr>
        <w:t xml:space="preserve">transferred to the reserve account created in section 22 of this act and the benefits account created in section 24 of this act</w:t>
      </w:r>
      <w:r>
        <w:rPr/>
        <w:t xml:space="preserve">. Moneys in the account, including unanticipated revenues under RCW 43.79.270, </w:t>
      </w:r>
      <w:r>
        <w:t>((</w:t>
      </w:r>
      <w:r>
        <w:rPr>
          <w:strike/>
        </w:rPr>
        <w:t xml:space="preserve">may be spent only after appropriation by statute, and may be used only for operating expenses of the authority</w:t>
      </w:r>
      <w:r>
        <w:t>))</w:t>
      </w:r>
      <w:r>
        <w:rPr/>
        <w:t xml:space="preserve"> </w:t>
      </w:r>
      <w:r>
        <w:rPr>
          <w:u w:val="single"/>
        </w:rPr>
        <w:t xml:space="preserve">are transferred to the reserve account created in section 22 of this act and the benefits account created in section 24 of this act</w:t>
      </w:r>
      <w:r>
        <w:rPr/>
        <w:t xml:space="preserve">, and during the 2013-2015 fiscal biennium,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other than the board.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liquor </w:t>
      </w:r>
      <w:r>
        <w:t>((</w:t>
      </w:r>
      <w:r>
        <w:rPr>
          <w:strike/>
        </w:rPr>
        <w:t xml:space="preserve">control</w:t>
      </w:r>
      <w:r>
        <w:t>))</w:t>
      </w:r>
      <w:r>
        <w:rPr/>
        <w:t xml:space="preserve"> </w:t>
      </w:r>
      <w:r>
        <w:rPr>
          <w:u w:val="single"/>
        </w:rPr>
        <w:t xml:space="preserve">and cannabis</w:t>
      </w:r>
      <w:r>
        <w:rPr/>
        <w:t xml:space="preserve">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ninety-six cents per barrel of thirty-one gallons through June 30, 1995, two dollars and thirty-nine cents per barrel of thirty-one gallons for the period July 1, 1995, through June 30, 1997, and four dollars and seventy-eight cents per barrel of thirty-one gallons thereafter.</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w:t>
      </w:r>
      <w:r>
        <w:t>((</w:t>
      </w:r>
      <w:r>
        <w:rPr>
          <w:strike/>
        </w:rPr>
        <w:t xml:space="preserve">state general fund</w:t>
      </w:r>
      <w:r>
        <w:t>))</w:t>
      </w:r>
      <w:r>
        <w:rPr/>
        <w:t xml:space="preserve"> </w:t>
      </w:r>
      <w:r>
        <w:rPr>
          <w:u w:val="single"/>
        </w:rPr>
        <w:t xml:space="preserve">reserve account created in section 22 of this act and the benefits account created in section 24 of this act</w:t>
      </w:r>
      <w:r>
        <w:rPr/>
        <w:t xml:space="preserve">.</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shall be deposited in the state general fund.</w:t>
      </w:r>
    </w:p>
    <w:p>
      <w:pPr>
        <w:spacing w:before="0" w:after="0" w:line="408" w:lineRule="exact"/>
        <w:ind w:left="0" w:right="0" w:firstLine="576"/>
        <w:jc w:val="left"/>
      </w:pPr>
      <w:r>
        <w:rPr/>
        <w:t xml:space="preserve">(6) The board may make refunds for all taxes paid on beer and strong beer exported from the state for use outside the state.</w:t>
      </w:r>
    </w:p>
    <w:p>
      <w:pPr>
        <w:spacing w:before="0" w:after="0" w:line="408" w:lineRule="exact"/>
        <w:ind w:left="0" w:right="0" w:firstLine="576"/>
        <w:jc w:val="left"/>
      </w:pPr>
      <w:r>
        <w:rPr/>
        <w:t xml:space="preserve">(7)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020</w:t>
      </w:r>
      <w:r>
        <w:rPr/>
        <w:t xml:space="preserve"> and 2010 1st sp.s. c 22 s 2 are each amended to read as follows:</w:t>
      </w:r>
    </w:p>
    <w:p>
      <w:pPr>
        <w:spacing w:before="0" w:after="0" w:line="408" w:lineRule="exact"/>
        <w:ind w:left="0" w:right="0" w:firstLine="576"/>
        <w:jc w:val="left"/>
      </w:pPr>
      <w:r>
        <w:rPr/>
        <w:t xml:space="preserve">(1) There is levied and collected as provided in this chapter</w:t>
      </w:r>
      <w:r>
        <w:t>((</w:t>
      </w:r>
      <w:r>
        <w:rPr>
          <w:strike/>
        </w:rPr>
        <w:t xml:space="preserve">,</w:t>
      </w:r>
      <w:r>
        <w:t>))</w:t>
      </w:r>
      <w:r>
        <w:rPr/>
        <w:t xml:space="preserve"> a tax upon the sale, use, consumption, handling, possession, or distribution of all cigarettes, in an amount equal to 12.125 cents per cigarette.</w:t>
      </w:r>
    </w:p>
    <w:p>
      <w:pPr>
        <w:spacing w:before="0" w:after="0" w:line="408" w:lineRule="exact"/>
        <w:ind w:left="0" w:right="0" w:firstLine="576"/>
        <w:jc w:val="left"/>
      </w:pPr>
      <w:r>
        <w:rPr/>
        <w:t xml:space="preserve">(2) Wholesalers subject to the payment of this tax may, if they wish, absorb five one-hundredths cents per cigarette of the tax and not pass it on to purchasers without being in violation of this section or any other act relating to the sale or taxation of cigarettes.</w:t>
      </w:r>
    </w:p>
    <w:p>
      <w:pPr>
        <w:spacing w:before="0" w:after="0" w:line="408" w:lineRule="exact"/>
        <w:ind w:left="0" w:right="0" w:firstLine="576"/>
        <w:jc w:val="left"/>
      </w:pPr>
      <w:r>
        <w:rPr/>
        <w:t xml:space="preserve">(3) For purposes of this chapter, "possession" means both (a) physical possession by the purchaser</w:t>
      </w:r>
      <w:r>
        <w:rPr>
          <w:u w:val="single"/>
        </w:rPr>
        <w:t xml:space="preserve">,</w:t>
      </w:r>
      <w:r>
        <w:rPr/>
        <w:t xml:space="preserve"> and</w:t>
      </w:r>
      <w:r>
        <w:t>((</w:t>
      </w:r>
      <w:r>
        <w:rPr>
          <w:strike/>
        </w:rPr>
        <w:t xml:space="preserve">,</w:t>
      </w:r>
      <w:r>
        <w:t>))</w:t>
      </w:r>
      <w:r>
        <w:rPr/>
        <w:t xml:space="preserve"> (b) when cigarettes are being transported to or held for the purchaser or his or her designee by a person other than the purchaser, constructive possession by the purchaser or his or her designee, which constructive possession is deemed to occur at the location of the cigarettes being so transported or held.</w:t>
      </w:r>
    </w:p>
    <w:p>
      <w:pPr>
        <w:spacing w:before="0" w:after="0" w:line="408" w:lineRule="exact"/>
        <w:ind w:left="0" w:right="0" w:firstLine="576"/>
        <w:jc w:val="left"/>
      </w:pPr>
      <w:r>
        <w:rPr/>
        <w:t xml:space="preserve">(4) In accordance with federal law and rules prescribed by the department, an enrolled member of a federally recognized Indian tribe may purchase cigarettes from an Indian tribal organization under the jurisdiction of the member's tribe for the member's own use exempt from the applicable taxes imposed by this chapter. Except as provided in subsection (5) of this section, any person, who purchases cigarettes from an Indian tribal organization and who is not an enrolled member of the federally recognized Indian tribe within whose jurisdiction the sale takes place, is not exempt from the applicable taxes imposed by this chapter.</w:t>
      </w:r>
    </w:p>
    <w:p>
      <w:pPr>
        <w:spacing w:before="0" w:after="0" w:line="408" w:lineRule="exact"/>
        <w:ind w:left="0" w:right="0" w:firstLine="576"/>
        <w:jc w:val="left"/>
      </w:pPr>
      <w:r>
        <w:rPr/>
        <w:t xml:space="preserve">(5) If the state enters into a cigarette tax contract or agreement with a federally recognized Indian tribe under chapter 43.06 RCW, the terms of the contract or agreement take precedence over any conflicting provisions of this chapter while the contract or agreement is in effect. </w:t>
      </w:r>
      <w:r>
        <w:rPr>
          <w:u w:val="single"/>
        </w:rPr>
        <w:t xml:space="preserve">The revenue collected under this section must be deposited in the reserve account created in section 22 of this act and the benefits account created in section 24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w:t>
      </w:r>
      <w:r>
        <w:t>((</w:t>
      </w:r>
      <w:r>
        <w:rPr>
          <w:strike/>
        </w:rPr>
        <w:t xml:space="preserve">state general fund</w:t>
      </w:r>
      <w:r>
        <w:t>))</w:t>
      </w:r>
      <w:r>
        <w:rPr/>
        <w:t xml:space="preserve"> </w:t>
      </w:r>
      <w:r>
        <w:rPr>
          <w:u w:val="single"/>
        </w:rPr>
        <w:t xml:space="preserve">reserve account created in section 22 of this act and the benefits account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(Initiative Measure No. 1183)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w:t>
      </w:r>
      <w:r>
        <w:t>((</w:t>
      </w:r>
      <w:r>
        <w:rPr>
          <w:strike/>
        </w:rPr>
        <w:t xml:space="preserve">state general fund</w:t>
      </w:r>
      <w:r>
        <w:t>))</w:t>
      </w:r>
      <w:r>
        <w:rPr/>
        <w:t xml:space="preserve"> </w:t>
      </w:r>
      <w:r>
        <w:rPr>
          <w:u w:val="single"/>
        </w:rPr>
        <w:t xml:space="preserve">reserve account created in section 22 of this act and the benefits account created in section 24 of this act</w:t>
      </w:r>
      <w:r>
        <w:rPr/>
        <w:t xml:space="preserve">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w:t>
      </w:r>
      <w:r>
        <w:t>((</w:t>
      </w:r>
      <w:r>
        <w:rPr>
          <w:strike/>
        </w:rPr>
        <w:t xml:space="preserve">general fund</w:t>
      </w:r>
      <w:r>
        <w:t>))</w:t>
      </w:r>
      <w:r>
        <w:rPr/>
        <w:t xml:space="preserve"> </w:t>
      </w:r>
      <w:r>
        <w:rPr>
          <w:u w:val="single"/>
        </w:rPr>
        <w:t xml:space="preserve">reserve account created in section 22 of this act and the benefits account created in section 24 of this act</w:t>
      </w:r>
      <w:r>
        <w:rPr/>
        <w:t xml:space="preserve">.</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As used in this section, the terms, "spirits" and "package"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2015 3rd sp.s. c 4 s 956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w:t>
      </w:r>
      <w:r>
        <w:t>((</w:t>
      </w:r>
      <w:r>
        <w:rPr>
          <w:strike/>
        </w:rPr>
        <w:t xml:space="preserve">state general fund</w:t>
      </w:r>
      <w:r>
        <w:t>))</w:t>
      </w:r>
      <w:r>
        <w:rPr/>
        <w:t xml:space="preserve"> </w:t>
      </w:r>
      <w:r>
        <w:rPr>
          <w:u w:val="single"/>
        </w:rPr>
        <w:t xml:space="preserve">reserve account created in section 22 of this act and the benefits account created in section 24 of this act</w:t>
      </w:r>
      <w:r>
        <w:rPr/>
        <w:t xml:space="preserve">, and to the tobacco prevention and control account for purposes set forth in this section. </w:t>
      </w:r>
      <w:r>
        <w:t>((</w:t>
      </w:r>
      <w:r>
        <w:rPr>
          <w:strike/>
        </w:rPr>
        <w:t xml:space="preserve">The legislature shall transfer amounts received as strategic contribution payments as defined in RCW 43.350.010 to the life sciences discovery fund created in RCW 43.350.070. During the 2013-2015 and 2015-2017 fiscal biennia, the legislature may transfer less than the entire strategic contribution payments, and may transfer amounts attributable to strategic contribution payments into the state general fund.</w:t>
      </w:r>
      <w:r>
        <w:t>))</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t>((</w:t>
      </w:r>
      <w:r>
        <w:rPr>
          <w:strike/>
        </w:rPr>
        <w:t xml:space="preserve">(1)</w:t>
      </w:r>
      <w:r>
        <w:t>))</w:t>
      </w:r>
      <w:r>
        <w:rPr/>
        <w:t xml:space="preserve"> State general funds appropriated to the department of health for the purposes of funding community health centers to provide primary health and dental care services, migrant health services, and maternity health care services shall be transferred to the </w:t>
      </w:r>
      <w:r>
        <w:t>((</w:t>
      </w:r>
      <w:r>
        <w:rPr>
          <w:strike/>
        </w:rPr>
        <w:t xml:space="preserve">state health care authority</w:t>
      </w:r>
      <w:r>
        <w:t>))</w:t>
      </w:r>
      <w:r>
        <w:rPr/>
        <w:t xml:space="preserve"> </w:t>
      </w:r>
      <w:r>
        <w:rPr>
          <w:u w:val="single"/>
        </w:rPr>
        <w:t xml:space="preserve">reserve account created in section 22 of this act and the benefits account created in section 24 of this act</w:t>
      </w:r>
      <w:r>
        <w:rPr/>
        <w:t xml:space="preserve">. Any related administrative funds expended by the department of health for this purpose shall also be transferred to the </w:t>
      </w:r>
      <w:r>
        <w:t>((</w:t>
      </w:r>
      <w:r>
        <w:rPr>
          <w:strike/>
        </w:rPr>
        <w:t xml:space="preserve">health care authority</w:t>
      </w:r>
      <w:r>
        <w:t>))</w:t>
      </w:r>
      <w:r>
        <w:rPr/>
        <w:t xml:space="preserve"> </w:t>
      </w:r>
      <w:r>
        <w:rPr>
          <w:u w:val="single"/>
        </w:rPr>
        <w:t xml:space="preserve">reserve account created in section 22 of this act and the benefits account created in section 24 of this act</w:t>
      </w:r>
      <w:r>
        <w:rPr/>
        <w:t xml:space="preserve">. The </w:t>
      </w:r>
      <w:r>
        <w:t>((</w:t>
      </w:r>
      <w:r>
        <w:rPr>
          <w:strike/>
        </w:rPr>
        <w:t xml:space="preserve">health care authority</w:t>
      </w:r>
      <w:r>
        <w:t>))</w:t>
      </w:r>
      <w:r>
        <w:rPr/>
        <w:t xml:space="preserve"> </w:t>
      </w:r>
      <w:r>
        <w:rPr>
          <w:u w:val="single"/>
        </w:rPr>
        <w:t xml:space="preserve">Washington access for all trust</w:t>
      </w:r>
      <w:r>
        <w:rPr/>
        <w:t xml:space="preserve">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chair</w:t>
      </w:r>
      <w:r>
        <w:rPr/>
        <w:t xml:space="preserve"> of the </w:t>
      </w:r>
      <w:r>
        <w:t>((</w:t>
      </w:r>
      <w:r>
        <w:rPr>
          <w:strike/>
        </w:rPr>
        <w:t xml:space="preserve">health care authority</w:t>
      </w:r>
      <w:r>
        <w:t>))</w:t>
      </w:r>
      <w:r>
        <w:rPr/>
        <w:t xml:space="preserve"> </w:t>
      </w:r>
      <w:r>
        <w:rPr>
          <w:u w:val="single"/>
        </w:rPr>
        <w:t xml:space="preserve">Washington access for all trust</w:t>
      </w:r>
      <w:r>
        <w:rPr/>
        <w:t xml:space="preserve">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chair of the Washington access for all trust</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t>((</w:t>
      </w:r>
      <w:r>
        <w:rPr>
          <w:strike/>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21 of this act, all other revenues currently deposited in the health services account for personal health care services shall be deposited to the reserve account created in section 22 of this act and the benefits account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January 1, 2020,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2020,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 2019, from the general fund to the benefits account of the Washington access for all trust for start-up moneys for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 and</w:t>
      </w:r>
    </w:p>
    <w:p>
      <w:pPr>
        <w:spacing w:before="0" w:after="0" w:line="408" w:lineRule="exact"/>
        <w:ind w:left="0" w:right="0" w:firstLine="576"/>
        <w:jc w:val="left"/>
      </w:pPr>
      <w:r>
        <w:t>(2)</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18, 19, 21 through 24, and 33 through 35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22 through 24 of this act take effect January 1, 2019.</w:t>
      </w:r>
    </w:p>
    <w:p>
      <w:pPr>
        <w:spacing w:before="0" w:after="0" w:line="408" w:lineRule="exact"/>
        <w:ind w:left="0" w:right="0" w:firstLine="576"/>
        <w:jc w:val="left"/>
      </w:pPr>
      <w:r>
        <w:rPr/>
        <w:t xml:space="preserve">(2) Sections 19, 25 through 34, and 38 of this act take effect May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68bd8015724b4e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64eadd9484f0a" /><Relationship Type="http://schemas.openxmlformats.org/officeDocument/2006/relationships/footer" Target="/word/footer.xml" Id="R68bd8015724b4ef2" /></Relationships>
</file>