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f3ea0c0d44f10" /></Relationships>
</file>

<file path=word/document.xml><?xml version="1.0" encoding="utf-8"?>
<w:document xmlns:w="http://schemas.openxmlformats.org/wordprocessingml/2006/main">
  <w:body>
    <w:p>
      <w:r>
        <w:t>S-1629.1</w:t>
      </w:r>
    </w:p>
    <w:p>
      <w:pPr>
        <w:jc w:val="center"/>
      </w:pPr>
      <w:r>
        <w:t>_______________________________________________</w:t>
      </w:r>
    </w:p>
    <w:p/>
    <w:p>
      <w:pPr>
        <w:jc w:val="center"/>
      </w:pPr>
      <w:r>
        <w:rPr>
          <w:b/>
        </w:rPr>
        <w:t>SUBSTITUTE SENATE BILL 5763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Warnick, Darneille, Keiser, and Rolfes)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and 74.09.520; adding a new section to chapter 74.09 RCW; adding a new section to chapter 43.215 RCW; adding a new section to chapter 28A.310 RCW; adding a new section to chapter 28A.300 RCW; adding a new section to chapter 28B.30 RCW; adding a new section to chapter 28B.20 RCW; adding a new section to chapter 71.24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workforce development,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the managed health care system as defined in RCW 74.09.325 to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to develop and maintain adequate capacity to facilitate child mental health treatment services in the community or transfers to a behavioral health organization, depending on the level of required care, by:</w:t>
      </w:r>
    </w:p>
    <w:p>
      <w:pPr>
        <w:spacing w:before="0" w:after="0" w:line="408" w:lineRule="exact"/>
        <w:ind w:left="0" w:right="0" w:firstLine="576"/>
        <w:jc w:val="left"/>
      </w:pPr>
      <w:r>
        <w:rPr/>
        <w:t xml:space="preserve">(a) Following up with individuals to (i) ensure an appointment has been secured and completed; and (ii) track the individual's utilization of services;</w:t>
      </w:r>
    </w:p>
    <w:p>
      <w:pPr>
        <w:spacing w:before="0" w:after="0" w:line="408" w:lineRule="exact"/>
        <w:ind w:left="0" w:right="0" w:firstLine="576"/>
        <w:jc w:val="left"/>
      </w:pPr>
      <w:r>
        <w:rPr/>
        <w:t xml:space="preserve">(b) Coordinating with and reporting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Providing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Maintaining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universal screening and provider payment for depression for children ages eleven through twenty-one as recommended by the bright futures guidelines of the American academy of pediatrics, as they existed on January 1, 2017.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child care consultation program linking child care providers with evidence-based and best practice resources regarding caring for infants and young children who present behavioral concerns.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Provide support and guidance to child care staff; and (b) consult and coordinate with parents, other caregivers, and experts or practitioners involved with the care and well-being of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must establish a lead staff person for mental health. The lead staff person must have the primary responsibility of coordinating medicaid billing for schools and school districts, facilitating community partnerships, sharing service models, seeking public and private grant funding, and ensuring the adequacy of other system level supports for students with mental health needs. The lead staff person must collaborate with the office of the superintendent of public instruction as provided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employ a children's mental health services coordinator to coordinate and provide support for the activities of the mental health lead staff person in each educational service district, as provided in section 6 of this act.</w:t>
      </w:r>
    </w:p>
    <w:p>
      <w:pPr>
        <w:spacing w:before="0" w:after="0" w:line="408" w:lineRule="exact"/>
        <w:ind w:left="0" w:right="0" w:firstLine="576"/>
        <w:jc w:val="left"/>
      </w:pPr>
      <w:r>
        <w:rPr/>
        <w:t xml:space="preserve">(2) The office must designate one educational service district as a "lighthouse" to provide technical assistance to educational service district mental health leads. Technical assistance must include: (a) Facilitating peer-to-peer training opportunities; (b) providing information about the impact of racial and other disparities on children's mental health; (c) serving as a model for best practices for mental health coordination; and (d) training on medicaid billing for schools and school districts. The designated lighthouse must have experience in providing mental health services and in medicaid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health workforce council of the state workforce training and education coordinating board shall collect and analyze workforce survey and administrative data for clinicians qualified to provide children's mental health services, including the availability of culturally and linguistically diverse services and providers for children. The board must submit its findings and recommendations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2018.</w:t>
      </w:r>
    </w:p>
    <w:p/>
    <w:p>
      <w:pPr>
        <w:jc w:val="center"/>
      </w:pPr>
      <w:r>
        <w:rPr>
          <w:b/>
        </w:rPr>
        <w:t>--- END ---</w:t>
      </w:r>
    </w:p>
    <w:sectPr>
      <w:pgNumType w:start="1"/>
      <w:footerReference xmlns:r="http://schemas.openxmlformats.org/officeDocument/2006/relationships" r:id="R7c672953fe6b45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0f7c9f326460c" /><Relationship Type="http://schemas.openxmlformats.org/officeDocument/2006/relationships/footer" Target="/word/footer.xml" Id="R7c672953fe6b4599" /></Relationships>
</file>