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a3badbee44353" /></Relationships>
</file>

<file path=word/document.xml><?xml version="1.0" encoding="utf-8"?>
<w:document xmlns:w="http://schemas.openxmlformats.org/wordprocessingml/2006/main">
  <w:body>
    <w:p>
      <w:r>
        <w:t>S-1279.1</w:t>
      </w:r>
    </w:p>
    <w:p>
      <w:pPr>
        <w:jc w:val="center"/>
      </w:pPr>
      <w:r>
        <w:t>_______________________________________________</w:t>
      </w:r>
    </w:p>
    <w:p/>
    <w:p>
      <w:pPr>
        <w:jc w:val="center"/>
      </w:pPr>
      <w:r>
        <w:rPr>
          <w:b/>
        </w:rPr>
        <w:t>SENATE BILL 5763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Darneille, Keiser, and Rolfes</w:t>
      </w:r>
    </w:p>
    <w:p/>
    <w:p>
      <w:r>
        <w:rPr>
          <w:t xml:space="preserve">Read first time 02/08/17.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74.09.520, and 71.24.061; adding a new section to chapter 74.09 RCW; adding a new section to chapter 43.215 RCW; adding a new section to chapter 28A.310 RCW; adding a new section to chapter 28A.300 RCW; adding a new section to chapter 28B.30 RCW; adding a new section to chapter 28B.20 RCW; adding a new section to chapter 71.24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workforce development,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the managed health care system as defined in RCW 74.09.325 to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to develop and maintain adequate capacity to facilitate child mental health treatment services in the community or transfers to a behavioral health organization, depending on the level of required care, by:</w:t>
      </w:r>
    </w:p>
    <w:p>
      <w:pPr>
        <w:spacing w:before="0" w:after="0" w:line="408" w:lineRule="exact"/>
        <w:ind w:left="0" w:right="0" w:firstLine="576"/>
        <w:jc w:val="left"/>
      </w:pPr>
      <w:r>
        <w:rPr/>
        <w:t xml:space="preserve">(a) Following up with individuals to (i) ensure an appointment has been secured and completed; and (ii) track the individual's utilization of services;</w:t>
      </w:r>
    </w:p>
    <w:p>
      <w:pPr>
        <w:spacing w:before="0" w:after="0" w:line="408" w:lineRule="exact"/>
        <w:ind w:left="0" w:right="0" w:firstLine="576"/>
        <w:jc w:val="left"/>
      </w:pPr>
      <w:r>
        <w:rPr/>
        <w:t xml:space="preserve">(b) Coordinating with and reporting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Providing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Maintaining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universal screening and provider payment for depression for children ages eleven through twenty-one as recommended by the bright futures guidelines of the American academy of pediatrics, as they existed on January 1, 2017.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child care consultation program linking child care providers with evidence-based and best practice resources regarding caring for infants and young children who present behavioral concerns.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Provide support and guidance to child care staff; and (b) consult and coordinate with parents, other caregivers, and experts or practitioners involved with the care and well-being of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must establish a lead staff person for mental health. The lead staff person must have the primary responsibility of coordinating medicaid billing for schools and school districts, facilitating community partnerships, sharing service models, seeking public and private grant funding, and ensuring the adequacy of other system level supports for students with mental health needs. The lead staff person must collaborate with the office of the superintendent of public instruction as provided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employ a children's mental health services coordinator to coordinate and provide support for the activities of the mental health lead staff person in each educational service district, as provided in section 6 of this act.</w:t>
      </w:r>
    </w:p>
    <w:p>
      <w:pPr>
        <w:spacing w:before="0" w:after="0" w:line="408" w:lineRule="exact"/>
        <w:ind w:left="0" w:right="0" w:firstLine="576"/>
        <w:jc w:val="left"/>
      </w:pPr>
      <w:r>
        <w:rPr/>
        <w:t xml:space="preserve">(2) The office must designate one educational service district as a "lighthouse" to provide technical assistance to educational service district mental health leads. Technical assistance must include: (a) Facilitating peer-to-peer training opportunities; (b) providing information about the impact of racial and other disparities on children's mental health; (c) serving as a model for best practices for mental health coordination; and (d) training on medicaid billing for schools and school districts. The designated lighthouse must have experience in providing mental health services and in medicaid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health workforce council of the state workforce training and education coordinating board shall collect and analyze workforce survey and administrative data for clinicians qualified to provide children's mental health services, including the availability of culturally and linguistically diverse services and providers for children. The board must submit its findings and recommendations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w:t>
      </w:r>
      <w:r>
        <w:t>((</w:t>
      </w:r>
      <w:r>
        <w:rPr>
          <w:strike/>
        </w:rPr>
        <w:t xml:space="preserve">To the extent that funds are specifically appropriated for this purpose, the</w:t>
      </w:r>
      <w:r>
        <w:t>))</w:t>
      </w:r>
      <w:r>
        <w:rPr/>
        <w:t xml:space="preserve"> </w:t>
      </w:r>
      <w:r>
        <w:rPr>
          <w:u w:val="single"/>
        </w:rPr>
        <w:t xml:space="preserve">(a) The</w:t>
      </w:r>
      <w:r>
        <w:rPr/>
        <w:t xml:space="preserve"> department in collaboration with the evidence-based practice institute shall </w:t>
      </w:r>
      <w:r>
        <w:t>((</w:t>
      </w:r>
      <w:r>
        <w:rPr>
          <w:strike/>
        </w:rPr>
        <w:t xml:space="preserve">implement a pilot</w:t>
      </w:r>
      <w:r>
        <w:t>))</w:t>
      </w:r>
      <w:r>
        <w:rPr/>
        <w:t xml:space="preserve"> </w:t>
      </w:r>
      <w:r>
        <w:rPr>
          <w:u w:val="single"/>
        </w:rPr>
        <w:t xml:space="preserve">provide a partnership access line</w:t>
      </w:r>
      <w:r>
        <w:rPr/>
        <w:t xml:space="preserve">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w:t>
      </w:r>
      <w:r>
        <w:t>((</w:t>
      </w:r>
      <w:r>
        <w:rPr>
          <w:strike/>
        </w:rPr>
        <w:t xml:space="preserve">collaboratives</w:t>
      </w:r>
      <w:r>
        <w:t>))</w:t>
      </w:r>
      <w:r>
        <w:rPr/>
        <w:t xml:space="preserve"> </w:t>
      </w:r>
      <w:r>
        <w:rPr>
          <w:u w:val="single"/>
        </w:rPr>
        <w:t xml:space="preserve">collaboration</w:t>
      </w:r>
      <w:r>
        <w:rPr/>
        <w:t xml:space="preserve"> with primary care providers.</w:t>
      </w:r>
    </w:p>
    <w:p>
      <w:pPr>
        <w:spacing w:before="0" w:after="0" w:line="408" w:lineRule="exact"/>
        <w:ind w:left="0" w:right="0" w:firstLine="576"/>
        <w:jc w:val="left"/>
      </w:pPr>
      <w:r>
        <w:rPr>
          <w:u w:val="single"/>
        </w:rPr>
        <w:t xml:space="preserve">(b) The department shall determine the annual cost of operating the program in (a) of this subsection and collect from each health carrier, as defined in RCW 48.43.005, its proportional share of program costs. A health carrier's proportional share of annual program costs shall be calculated by determining the total annual cost of operating the program and multiplying it by a fraction in which the numerator is the health carrier's total number of resident insured persons who were less than eighteen years old during the year and the denominator is the total number of residents in the state who were less than eighteen years old during that same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
      <w:pPr>
        <w:jc w:val="center"/>
      </w:pPr>
      <w:r>
        <w:rPr>
          <w:b/>
        </w:rPr>
        <w:t>--- END ---</w:t>
      </w:r>
    </w:p>
    <w:sectPr>
      <w:pgNumType w:start="1"/>
      <w:footerReference xmlns:r="http://schemas.openxmlformats.org/officeDocument/2006/relationships" r:id="R97b594a9210f46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b70f6494f4af6" /><Relationship Type="http://schemas.openxmlformats.org/officeDocument/2006/relationships/footer" Target="/word/footer.xml" Id="R97b594a9210f46fc" /></Relationships>
</file>