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7f82f38e949e5" /></Relationships>
</file>

<file path=word/document.xml><?xml version="1.0" encoding="utf-8"?>
<w:document xmlns:w="http://schemas.openxmlformats.org/wordprocessingml/2006/main">
  <w:body>
    <w:p>
      <w:r>
        <w:t>S-1359.1</w:t>
      </w:r>
    </w:p>
    <w:p>
      <w:pPr>
        <w:jc w:val="center"/>
      </w:pPr>
      <w:r>
        <w:t>_______________________________________________</w:t>
      </w:r>
    </w:p>
    <w:p/>
    <w:p>
      <w:pPr>
        <w:jc w:val="center"/>
      </w:pPr>
      <w:r>
        <w:rPr>
          <w:b/>
        </w:rPr>
        <w:t>SENATE BILL 5803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Darneille, Hunt, Hasegawa, Conway, and Keiser</w:t>
      </w:r>
    </w:p>
    <w:p/>
    <w:p>
      <w:r>
        <w:rPr>
          <w:t xml:space="preserve">Read first time 02/10/17.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required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required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2011 c 237 s 1 are each amended to read as follows:</w:t>
      </w:r>
    </w:p>
    <w:p>
      <w:pPr>
        <w:spacing w:before="0" w:after="0" w:line="408" w:lineRule="exact"/>
        <w:ind w:left="0" w:right="0" w:firstLine="576"/>
        <w:jc w:val="left"/>
      </w:pPr>
      <w:r>
        <w:rPr/>
        <w:t xml:space="preserve">(1)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t xml:space="preserve">(2) This section does not apply to food establishments, as defined in RCW 49.60.218, with respect to the use of a trained dog guide or service animal by a person with a disability. Food establishments are subject to RCW 49.60.218 with respect to trained dog guides and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NumType w:start="1"/>
      <w:footerReference xmlns:r="http://schemas.openxmlformats.org/officeDocument/2006/relationships" r:id="Rd71dbbc8bc6c40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e754ee3f0439e" /><Relationship Type="http://schemas.openxmlformats.org/officeDocument/2006/relationships/footer" Target="/word/footer.xml" Id="Rd71dbbc8bc6c40ee" /></Relationships>
</file>