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6c6e192e74f2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attempted murder to the list of offenses that may not be prosecuted more than ten years their commission; amending RCW 9A.04.080;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Attempted murder</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ff8ea3c678d41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d9e63d7cb41bc" /><Relationship Type="http://schemas.openxmlformats.org/officeDocument/2006/relationships/footer" Target="/word/footer.xml" Id="R1ff8ea3c678d41fc" /></Relationships>
</file>