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5578da73948b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5890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Braun, and Rolfes)</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foster care, and adoption support; amending RCW 74.13.270, 74.13.031, 74.13A.025, 74.13A.030, 74.13A.047, 28B.118.010, and 26.44.030; reenacting and amending RCW 43.43.832; adding a new section to chapter 74.15 RCW; adding a new section to chapter 13.34 RCW; adding a new section to chapter 41.04 RCW; adding a new section to chapter 43.06 RCW; adding a new section to chapter 74.13 RCW; creating new sections; repealing RCW 74.13.107, 74.12.037, 43.131.415, and 43.131.416;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short-term care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care described in this subsection. These individuals shall be hired by the nonprofit community-based organization and shall have the appropriate training, background checks, and qualifications as determined by the department. Short-term care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care provided in this subsection exceed the funding available, the nonprofit community-based organization shall have discretion to determine the assignment of case aides. The nonprofit community-based organization shall report all short-term care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short-term care described in this subsection. The evaluation will, to the maximum extent possible, assess the impact of the short-term care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an expedited foster licensing process.</w:t>
      </w:r>
    </w:p>
    <w:p>
      <w:pPr>
        <w:spacing w:before="0" w:after="0" w:line="408" w:lineRule="exact"/>
        <w:ind w:left="0" w:right="0" w:firstLine="576"/>
        <w:jc w:val="left"/>
      </w:pPr>
      <w:r>
        <w:rPr/>
        <w:t xml:space="preserve">(2) The expedited foster licensing process described in this section shall be available to individuals who:</w:t>
      </w:r>
    </w:p>
    <w:p>
      <w:pPr>
        <w:spacing w:before="0" w:after="0" w:line="408" w:lineRule="exact"/>
        <w:ind w:left="0" w:right="0" w:firstLine="576"/>
        <w:jc w:val="left"/>
      </w:pPr>
      <w:r>
        <w:rPr/>
        <w:t xml:space="preserve">(a) Were licensed within the last five years;</w:t>
      </w:r>
    </w:p>
    <w:p>
      <w:pPr>
        <w:spacing w:before="0" w:after="0" w:line="408" w:lineRule="exact"/>
        <w:ind w:left="0" w:right="0" w:firstLine="576"/>
        <w:jc w:val="left"/>
      </w:pPr>
      <w:r>
        <w:rPr/>
        <w:t xml:space="preserve">(b) Were not the subject of an adverse licensing action or a voluntary relinquishment;</w:t>
      </w:r>
    </w:p>
    <w:p>
      <w:pPr>
        <w:spacing w:before="0" w:after="0" w:line="408" w:lineRule="exact"/>
        <w:ind w:left="0" w:right="0" w:firstLine="576"/>
        <w:jc w:val="left"/>
      </w:pPr>
      <w:r>
        <w:rPr/>
        <w:t xml:space="preserve">(c) Seek licensure for the same residence for which he or she was previously licensed provided that any changes to family constellation since the previous license is limited to individuals leaving the family constellation; and</w:t>
      </w:r>
    </w:p>
    <w:p>
      <w:pPr>
        <w:spacing w:before="0" w:after="0" w:line="408" w:lineRule="exact"/>
        <w:ind w:left="0" w:right="0" w:firstLine="576"/>
        <w:jc w:val="left"/>
      </w:pPr>
      <w:r>
        <w:rPr/>
        <w:t xml:space="preserve">(d) Apply to the same agency for which he or she was previously licensed, with the understanding that the agency must be agreeable to supervise the home.</w:t>
      </w:r>
    </w:p>
    <w:p>
      <w:pPr>
        <w:spacing w:before="0" w:after="0" w:line="408" w:lineRule="exact"/>
        <w:ind w:left="0" w:right="0" w:firstLine="576"/>
        <w:jc w:val="left"/>
      </w:pPr>
      <w:r>
        <w:rPr/>
        <w:t xml:space="preserve">(3) The department shall make every effort to ensure that individuals qualifying for and seeking an expedited license are able to become licensed within forty days of the department receiving his or her application.</w:t>
      </w:r>
    </w:p>
    <w:p>
      <w:pPr>
        <w:spacing w:before="0" w:after="0" w:line="408" w:lineRule="exact"/>
        <w:ind w:left="0" w:right="0" w:firstLine="576"/>
        <w:jc w:val="left"/>
      </w:pPr>
      <w:r>
        <w:rPr/>
        <w:t xml:space="preserve">(4) The department shall only issue a foster license pursuant to this section after receiving a completed fingerprint-based background check, and may delay issuance of an expedited license solely based on awaiting the results of a background check.</w:t>
      </w:r>
    </w:p>
    <w:p>
      <w:pPr>
        <w:spacing w:before="0" w:after="0" w:line="408" w:lineRule="exact"/>
        <w:ind w:left="0" w:right="0" w:firstLine="576"/>
        <w:jc w:val="left"/>
      </w:pPr>
      <w:r>
        <w:rPr/>
        <w:t xml:space="preserve">(5) The department may issue a provisional expedited license pursuant to this section before completing a home study, but shall complete the home study as soon as possible after issuing a provisional expedited license.</w:t>
      </w:r>
    </w:p>
    <w:p>
      <w:pPr>
        <w:spacing w:before="0" w:after="0" w:line="408" w:lineRule="exact"/>
        <w:ind w:left="0" w:right="0" w:firstLine="576"/>
        <w:jc w:val="left"/>
      </w:pPr>
      <w:r>
        <w:rPr/>
        <w:t xml:space="preserve">(6) The department and its officers, agents, employees, and volunteers are not liable for injuries caused by the expedited foster licensing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w:t>
      </w:r>
      <w:r>
        <w:rPr>
          <w:u w:val="single"/>
        </w:rPr>
        <w:t xml:space="preserve">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r>
        <w:rPr/>
        <w:t xml:space="preserv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Within the department's appropriations, the department shall ensure that a case review panel reviews cases involving dependent children where permanency is not achieved for children within fifteen months after being placed in out-of-home care. </w:t>
      </w:r>
    </w:p>
    <w:p>
      <w:pPr>
        <w:spacing w:before="0" w:after="0" w:line="408" w:lineRule="exact"/>
        <w:ind w:left="0" w:right="0" w:firstLine="576"/>
        <w:jc w:val="left"/>
      </w:pPr>
      <w:r>
        <w:rPr/>
        <w:t xml:space="preserve">(2) The case review panel shall be comprised of, at a minimum, a lead social services specialist and either the office of the family and children's ombuds or another external organization with child welfare experience.</w:t>
      </w:r>
    </w:p>
    <w:p>
      <w:pPr>
        <w:spacing w:before="0" w:after="0" w:line="408" w:lineRule="exact"/>
        <w:ind w:left="0" w:right="0" w:firstLine="576"/>
        <w:jc w:val="left"/>
      </w:pPr>
      <w:r>
        <w:rPr/>
        <w:t xml:space="preserve">(3) Beginning September 1, 2018, the panel shall review all cases where, after the effective date of this section, a dependent child reaches fifteen months in out-of-home placement and has not achieved permanency. This review must occur by the child's sixteenth month in out-of-home placement. At each case review, the panel must develop a plan of action, including recommended next steps for the department to take, to achieve permanency.</w:t>
      </w:r>
    </w:p>
    <w:p>
      <w:pPr>
        <w:spacing w:before="0" w:after="0" w:line="408" w:lineRule="exact"/>
        <w:ind w:left="0" w:right="0" w:firstLine="576"/>
        <w:jc w:val="left"/>
      </w:pPr>
      <w:r>
        <w:rPr/>
        <w:t xml:space="preserve">(4) The department is encouraged to convene the case review panel regularly to review other cases involving dependent children as needed to ensure stability and permanency is achieved and length of stay for children in out-of-home placement is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u w:val="single"/>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the effective date of this section.</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(e)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r>
        <w:rPr/>
        <w:t xml:space="preserv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14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with technical consultation from the caseload forecast council and associated technical work groups, shall review the forecasts of licensed foster care to ensure that all youth in licensed foster care are included in the caseload forecast and that maintenance level costs associated with these youth, not including costs associated with behavioral rehabilitation services, are accurately calculated.</w:t>
      </w:r>
    </w:p>
    <w:p>
      <w:pPr>
        <w:spacing w:before="0" w:after="0" w:line="408" w:lineRule="exact"/>
        <w:ind w:left="0" w:right="0" w:firstLine="576"/>
        <w:jc w:val="left"/>
      </w:pPr>
      <w:r>
        <w:rPr/>
        <w:t xml:space="preserve">(2) The department of social and health services shall submit a report detailing their findings and any recommendations associated with this review to the governor and the appropriate committees of the legislature no later than December 1, 2017.</w:t>
      </w:r>
    </w:p>
    <w:p>
      <w:pPr>
        <w:spacing w:before="0" w:after="0" w:line="408" w:lineRule="exact"/>
        <w:ind w:left="0" w:right="0" w:firstLine="576"/>
        <w:jc w:val="left"/>
      </w:pPr>
      <w:r>
        <w:rPr/>
        <w:t xml:space="preserve">(3) This section expires January 1, 2018.</w:t>
      </w:r>
    </w:p>
    <w:p/>
    <w:p>
      <w:pPr>
        <w:jc w:val="center"/>
      </w:pPr>
      <w:r>
        <w:rPr>
          <w:b/>
        </w:rPr>
        <w:t>--- END ---</w:t>
      </w:r>
    </w:p>
    <w:sectPr>
      <w:pgNumType w:start="1"/>
      <w:footerReference xmlns:r="http://schemas.openxmlformats.org/officeDocument/2006/relationships" r:id="Rf111caf6d10645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85293dc634640" /><Relationship Type="http://schemas.openxmlformats.org/officeDocument/2006/relationships/footer" Target="/word/footer.xml" Id="Rf111caf6d106458e" /></Relationships>
</file>