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35251b776a4c86" /></Relationships>
</file>

<file path=word/document.xml><?xml version="1.0" encoding="utf-8"?>
<w:document xmlns:w="http://schemas.openxmlformats.org/wordprocessingml/2006/main">
  <w:body>
    <w:p>
      <w:r>
        <w:t>S-2135.4</w:t>
      </w:r>
    </w:p>
    <w:p>
      <w:pPr>
        <w:jc w:val="center"/>
      </w:pPr>
      <w:r>
        <w:t>_______________________________________________</w:t>
      </w:r>
    </w:p>
    <w:p/>
    <w:p>
      <w:pPr>
        <w:jc w:val="center"/>
      </w:pPr>
      <w:r>
        <w:rPr>
          <w:b/>
        </w:rPr>
        <w:t>SENATE BILL 5904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Brown</w:t>
      </w:r>
    </w:p>
    <w:p/>
    <w:p>
      <w:r>
        <w:rPr>
          <w:t xml:space="preserve">Read first time 03/22/17.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convicted persons; amending RCW 9A.42.020, 9A.42.030, 9A.42.035, 9A.56.010, 9A.04.080, 9A.56.030, 9A.56.040, 74.34.020, 46.61.502, 46.61.504, 46.61.5054, 9.94A.589, 9.94B.050, 9.94A.501, 9.94A.702, 9.94A.533, 46.20.117, 46.20.117, 46.20.342, 46.63.020, 46.20.015, 9.94A.518, 9.94A.650, 9A.36.041. 9.94A.525, 43.43.754, and 43.43.830; reenacting and amending RCW 9.94A.411, 9.94A.515, 46.61.5055, 10.31.100, and 9.96.060; adding a new section to chapter 9A.56 RCW; adding a new section to chapter 74.34 RCW; adding a new section to chapter 9.94B RCW; adding new sections to chapter 9.94A RCW; adding a new section to chapter 72.09 RCW; adding a new section to chapter 7.36 RCW; creating new sections; repealing RCW 69.50.4014; repealing 2015 c 291 ss 8 and 9 and 2013 2nd sp.s. c 14 s 1; repealing 2013 2nd sp.s. c 14 s 10 (uncodified);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CRIMES AGAINST VULNERABLE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u w:val="single"/>
        </w:rPr>
        <w:t xml:space="preserve">4th Degree Assault (RCW 9A.36.041(3))</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106(1) of this act)</w:t>
      </w:r>
    </w:p>
    <w:p>
      <w:pPr>
        <w:spacing w:before="0" w:after="0" w:line="408" w:lineRule="exact"/>
        <w:ind w:left="0" w:right="0" w:firstLine="576"/>
        <w:jc w:val="left"/>
      </w:pPr>
      <w:r>
        <w:rPr>
          <w:u w:val="single"/>
        </w:rPr>
        <w:t xml:space="preserve">2nd Degree Theft from a Vulnerable Adult (section 106(2)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Has the functional, mental, or physical inability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106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106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106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112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or by court order.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SERIOUSNESS LEVEL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w:t>
            </w:r>
            <w:r>
              <w:t>((</w:t>
            </w:r>
            <w:r>
              <w:rPr>
                <w:rFonts w:ascii="Times New Roman" w:hAnsi="Times New Roman"/>
                <w:strike/>
                <w:sz w:val="20"/>
              </w:rPr>
              <w:t xml:space="preserve">1 (RCW 9A.44.073)</w:t>
            </w:r>
            <w:r>
              <w:t>))</w:t>
            </w:r>
            <w:r>
              <w:rPr>
                <w:rFonts w:ascii="Times New Roman" w:hAnsi="Times New Roman"/>
                <w:sz w:val="20"/>
              </w:rPr>
              <w:t xml:space="preserve"> </w:t>
            </w:r>
            <w:r>
              <w:rPr>
                <w:rFonts w:ascii="Times New Roman" w:hAnsi="Times New Roman"/>
                <w:sz w:val="20"/>
                <w:u w:val="single"/>
              </w:rPr>
              <w:t xml:space="preserve">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2 (RCW 9A.44.076)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1 (RCW 9A.44.083)</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2 (RCW 9A.44.086)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3 (RCW 9A.44.079)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106(1)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3 (RCW 9A.44.089)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106(2)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DRIVING UNDER THE INFLUENCE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401 through 404 of this act upon the effective date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VI</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601 and 602 of this act over a period of time not to exceed twelve months. For any offender under active supervision by the department as of the effective date of this section, he or she is not eligible to earn positive achievement time pursuant to section 602 of this act until he or she has received an orientation by the department regarding positive time.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COMMUNITY CUSTODY: JAIL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w:t>
      </w:r>
      <w:r>
        <w:t>((</w:t>
      </w:r>
      <w:r>
        <w:rPr>
          <w:strike/>
        </w:rPr>
        <w:t xml:space="preserve">one of the following offenses</w:t>
      </w:r>
      <w:r>
        <w:t>))</w:t>
      </w:r>
      <w:r>
        <w:rPr/>
        <w:t xml:space="preserve"> </w:t>
      </w:r>
      <w:r>
        <w:rPr>
          <w:u w:val="single"/>
        </w:rPr>
        <w:t xml:space="preserve">a sex offense or a violent offense</w:t>
      </w:r>
      <w:r>
        <w:rPr/>
        <w:t xml:space="preserve">, the court may impose up to one year of community custody</w:t>
      </w:r>
      <w:r>
        <w:t>((</w:t>
      </w:r>
      <w:r>
        <w:rPr>
          <w:strike/>
        </w:rPr>
        <w:t xml:space="preserve">:</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a person under RCW 9.94A.411; </w:t>
      </w:r>
    </w:p>
    <w:p>
      <w:pPr>
        <w:spacing w:before="0" w:after="0" w:line="408" w:lineRule="exact"/>
        <w:ind w:left="0" w:right="0" w:firstLine="576"/>
        <w:jc w:val="left"/>
      </w:pPr>
      <w:r>
        <w:rPr>
          <w:strike/>
        </w:rPr>
        <w:t xml:space="preserve">(d) A felony violation of chapter 69.50 or 69.52 RCW, or an attempt, conspiracy, or solicitation to commit such a crime; or</w:t>
      </w:r>
    </w:p>
    <w:p>
      <w:pPr>
        <w:spacing w:before="0" w:after="0" w:line="408" w:lineRule="exact"/>
        <w:ind w:left="0" w:right="0" w:firstLine="576"/>
        <w:jc w:val="left"/>
      </w:pPr>
      <w:r>
        <w:rPr>
          <w:strike/>
        </w:rPr>
        <w:t xml:space="preserve">(e) A felony violation of RCW 9A.44.132(1) (failure to register)</w:t>
      </w:r>
      <w:r>
        <w:t>))</w:t>
      </w:r>
      <w:r>
        <w:rPr/>
        <w:t xml:space="preserve">.</w:t>
      </w:r>
    </w:p>
    <w:p>
      <w:pPr>
        <w:spacing w:before="0" w:after="0" w:line="408" w:lineRule="exact"/>
        <w:ind w:left="0" w:right="0" w:firstLine="576"/>
        <w:jc w:val="left"/>
      </w:pPr>
      <w:r>
        <w:rPr/>
        <w:t xml:space="preserve">(2) If an offender is sentenced to a first-time offender waiver, the court may impose community custody as provided in RCW 9.94A.650.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HABITUAL PROPERTY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802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0" w:after="0" w:line="408" w:lineRule="exact"/>
        <w:ind w:left="0" w:right="0" w:firstLine="576"/>
        <w:jc w:val="left"/>
      </w:pPr>
      <w:r>
        <w:rPr/>
        <w:t xml:space="preserve">(3) A state law enforcement agency, court, or the department may not be prohibited from investigating the legal presence of a person or identifying a defendant's legal presence on a judgment and sentence form or any other investigatory or arrest materials provided to the department after conviction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902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902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902 through 904 of this act, and have discretion to implement sections 902 through 904 of this act over a period of time not to exceed twelve months from the effective date of this section.</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DRIVING WHILE LICENSE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w:t>
      </w:r>
      <w:r>
        <w:t>((</w:t>
      </w:r>
      <w:r>
        <w:rPr>
          <w:strike/>
        </w:rPr>
        <w:t xml:space="preserve">misdemeanor</w:t>
      </w:r>
      <w:r>
        <w:t>))</w:t>
      </w:r>
      <w:r>
        <w:rPr/>
        <w:t xml:space="preserve"> </w:t>
      </w:r>
      <w:r>
        <w:rPr>
          <w:u w:val="single"/>
        </w:rPr>
        <w:t xml:space="preserve">traffic infraction under RCW 46.20.015</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or (b)</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or (b)</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015</w:t>
      </w:r>
      <w:r>
        <w:rPr/>
        <w:t xml:space="preserve"> and 1999 c 6 s 4 are each amended to read as follows:</w:t>
      </w:r>
    </w:p>
    <w:p>
      <w:pPr>
        <w:spacing w:before="0" w:after="0" w:line="408" w:lineRule="exact"/>
        <w:ind w:left="0" w:right="0" w:firstLine="576"/>
        <w:jc w:val="left"/>
      </w:pPr>
      <w:r>
        <w:rPr/>
        <w:t xml:space="preserve">(1) Except as expressly exempted by this chapter, it is a traffic infraction and not a misdemeanor under RCW 46.20.005 if a person:</w:t>
      </w:r>
    </w:p>
    <w:p>
      <w:pPr>
        <w:spacing w:before="0" w:after="0" w:line="408" w:lineRule="exact"/>
        <w:ind w:left="0" w:right="0" w:firstLine="576"/>
        <w:jc w:val="left"/>
      </w:pPr>
      <w:r>
        <w:rPr/>
        <w:t xml:space="preserve">(a) Drives any motor vehicle upon a highway in this state without a valid driver's license issued to Washington residents under this chapter in his or her possession;</w:t>
      </w:r>
    </w:p>
    <w:p>
      <w:pPr>
        <w:spacing w:before="0" w:after="0" w:line="408" w:lineRule="exact"/>
        <w:ind w:left="0" w:right="0" w:firstLine="576"/>
        <w:jc w:val="left"/>
      </w:pPr>
      <w:r>
        <w:rPr/>
        <w:t xml:space="preserve">(b) Provides the citing officer with an expired driver's license or other valid identifying documentation under RCW 46.20.035 at the time of the stop; and</w:t>
      </w:r>
    </w:p>
    <w:p>
      <w:pPr>
        <w:spacing w:before="0" w:after="0" w:line="408" w:lineRule="exact"/>
        <w:ind w:left="0" w:right="0" w:firstLine="576"/>
        <w:jc w:val="left"/>
      </w:pPr>
      <w:r>
        <w:rPr/>
        <w:t xml:space="preserve">(c) Is not driving while suspended or revoked in violation of RCW 46.20.342(1) </w:t>
      </w:r>
      <w:r>
        <w:rPr>
          <w:u w:val="single"/>
        </w:rPr>
        <w:t xml:space="preserve">(a) or (b)</w:t>
      </w:r>
      <w:r>
        <w:rPr/>
        <w:t xml:space="preserve"> or </w:t>
      </w:r>
      <w:r>
        <w:t>((</w:t>
      </w:r>
      <w:r>
        <w:rPr>
          <w:strike/>
        </w:rPr>
        <w:t xml:space="preserve">46.20.420</w:t>
      </w:r>
      <w:r>
        <w:t>))</w:t>
      </w:r>
      <w:r>
        <w:rPr/>
        <w:t xml:space="preserve"> </w:t>
      </w:r>
      <w:r>
        <w:rPr>
          <w:u w:val="single"/>
        </w:rPr>
        <w:t xml:space="preserve">46.20.345</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obtained a valid license after being cited, the court shall reduce the penalty to fifty dollars.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DRUG GRID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Any felony offense under chapter 69.50 RCW with a deadly weapon special verdict under RCW ((</w:t>
            </w:r>
            <w:r>
              <w:rPr>
                <w:rFonts w:ascii="Times New Roman" w:hAnsi="Times New Roman"/>
                <w:strike/>
                <w:sz w:val="20"/>
              </w:rPr>
              <w:t xml:space="preserve">9.94A.602</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Controlled Substance Homicide (RCW 69.50.415)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Involving a minor in drug dealing (RCW 69.50.4015)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of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Selling for profit (controlled or counterfeit) any controlled substance (RCW 69.50.410)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Create, deliver, or possess a counterfeit controlled substance (RCW 69.50.4011)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Deliver or possess with intent to deliver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a material in lieu of a controlled substance (RCW 69.50.4012)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Maintaining a Dwelling or Place for Controlled Substances (RCW 69.50.402(1)(f))</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(RCW 69.41.020)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for a Controlled Substance (RCW 69.50.403)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marijuana (RCW 69.50.401(2)(c))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Controlled Substance that is either heroin or narcotics from Schedule I or II (RCW 69.50.4013)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Building for Drug Purposes (RCW 69.53.010)</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XII</w:t>
      </w:r>
    </w:p>
    <w:p>
      <w:pPr>
        <w:keepNext/>
        <w:spacing w:before="0" w:after="0" w:line="408" w:lineRule="exact"/>
        <w:ind w:left="0" w:right="0" w:firstLine="576"/>
        <w:jc w:val="center"/>
      </w:pPr>
      <w:r>
        <w:rPr>
          <w:b/>
        </w:rPr>
        <w:t xml:space="preserve">FIRST-TIME OFFENDER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w:t>
      </w:r>
      <w:r>
        <w:t>((</w:t>
      </w:r>
      <w:r>
        <w:rPr>
          <w:strike/>
        </w:rPr>
        <w:t xml:space="preserve">This section applies to offenders who have never been</w:t>
      </w:r>
      <w:r>
        <w:t>))</w:t>
      </w:r>
      <w:r>
        <w:rPr/>
        <w:t xml:space="preserve"> </w:t>
      </w:r>
      <w:r>
        <w:rPr>
          <w:u w:val="single"/>
        </w:rPr>
        <w:t xml:space="preserve">An offender is eligible for a first-time offender waiver if the offender has not</w:t>
      </w:r>
      <w:r>
        <w:rPr/>
        <w:t xml:space="preserve"> previously </w:t>
      </w:r>
      <w:r>
        <w:rPr>
          <w:u w:val="single"/>
        </w:rPr>
        <w:t xml:space="preserve">been</w:t>
      </w:r>
      <w:r>
        <w:rPr/>
        <w:t xml:space="preserve"> convicted of a felony in this state, federal court, or another state</w:t>
      </w:r>
      <w:r>
        <w:t>((</w:t>
      </w:r>
      <w:r>
        <w:rPr>
          <w:strike/>
        </w:rPr>
        <w:t xml:space="preserve">, and who have</w:t>
      </w:r>
      <w:r>
        <w:t>))</w:t>
      </w:r>
      <w:r>
        <w:rPr>
          <w:u w:val="single"/>
        </w:rPr>
        <w:t xml:space="preserve">; has</w:t>
      </w:r>
      <w:r>
        <w:rPr/>
        <w:t xml:space="preserve"> never participated in a program of deferred prosecution for a felony</w:t>
      </w:r>
      <w:r>
        <w:t>((</w:t>
      </w:r>
      <w:r>
        <w:rPr>
          <w:strike/>
        </w:rPr>
        <w:t xml:space="preserve">,</w:t>
      </w:r>
      <w:r>
        <w:t>))</w:t>
      </w:r>
      <w:r>
        <w:rPr>
          <w:u w:val="single"/>
        </w:rPr>
        <w:t xml:space="preserve">;</w:t>
      </w:r>
      <w:r>
        <w:rPr/>
        <w:t xml:space="preserve"> and </w:t>
      </w:r>
      <w:r>
        <w:t>((</w:t>
      </w:r>
      <w:r>
        <w:rPr>
          <w:strike/>
        </w:rPr>
        <w:t xml:space="preserve">who are convicted of</w:t>
      </w:r>
      <w:r>
        <w:t>))</w:t>
      </w:r>
      <w:r>
        <w:rPr/>
        <w:t xml:space="preserve"> </w:t>
      </w:r>
      <w:r>
        <w:rPr>
          <w:u w:val="single"/>
        </w:rPr>
        <w:t xml:space="preserve">is not being sentenced for</w:t>
      </w:r>
      <w:r>
        <w:rPr/>
        <w:t xml:space="preserve"> a felony that is </w:t>
      </w:r>
      <w:r>
        <w:t>((</w:t>
      </w:r>
      <w:r>
        <w:rPr>
          <w:strike/>
        </w:rPr>
        <w:t xml:space="preserve">not</w:t>
      </w:r>
      <w:r>
        <w:t>))</w:t>
      </w:r>
      <w:r>
        <w:rPr/>
        <w:t xml:space="preserve">:</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marihuana;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w:t>
      </w:r>
      <w:r>
        <w:t>((</w:t>
      </w:r>
      <w:r>
        <w:rPr>
          <w:strike/>
        </w:rPr>
        <w:t xml:space="preserve">In sentencing a first-time offender</w:t>
      </w:r>
      <w:r>
        <w:t>))</w:t>
      </w:r>
      <w:r>
        <w:rPr/>
        <w:t xml:space="preserve"> </w:t>
      </w:r>
      <w:r>
        <w:rPr>
          <w:u w:val="single"/>
        </w:rPr>
        <w:t xml:space="preserve">If an offender is eligible for a first-time offender waiver as provided in subsection (1) of this section,</w:t>
      </w:r>
      <w:r>
        <w:rPr/>
        <w:t xml:space="preserve"> the court </w:t>
      </w:r>
      <w:r>
        <w:t>((</w:t>
      </w:r>
      <w:r>
        <w:rPr>
          <w:strike/>
        </w:rPr>
        <w:t xml:space="preserve">may</w:t>
      </w:r>
      <w:r>
        <w:t>))</w:t>
      </w:r>
      <w:r>
        <w:rPr/>
        <w:t xml:space="preserve"> </w:t>
      </w:r>
      <w:r>
        <w:rPr>
          <w:u w:val="single"/>
        </w:rPr>
        <w:t xml:space="preserve">shall</w:t>
      </w:r>
      <w:r>
        <w:rPr/>
        <w:t xml:space="preserve">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keepNext/>
        <w:spacing w:before="240" w:after="0" w:line="408" w:lineRule="exact"/>
        <w:ind w:left="0" w:right="0" w:firstLine="576"/>
        <w:jc w:val="center"/>
      </w:pPr>
      <w:r>
        <w:rPr>
          <w:b/>
        </w:rPr>
        <w:t xml:space="preserve">PART XIII</w:t>
      </w:r>
    </w:p>
    <w:p>
      <w:pPr>
        <w:keepNext/>
        <w:spacing w:before="0" w:after="0" w:line="408" w:lineRule="exact"/>
        <w:ind w:left="0" w:right="0" w:firstLine="576"/>
        <w:jc w:val="center"/>
      </w:pPr>
      <w:r>
        <w:rPr>
          <w:b/>
        </w:rPr>
        <w:t xml:space="preserve">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Except as provided in (b) of this subsection, n</w:t>
      </w:r>
      <w:r>
        <w:rPr/>
        <w:t xml:space="preserve">othing in this section affects or prevents the use of an offender's prior conviction in a later criminal prosecution.</w:t>
      </w:r>
    </w:p>
    <w:p>
      <w:pPr>
        <w:spacing w:before="0" w:after="0" w:line="408" w:lineRule="exact"/>
        <w:ind w:left="0" w:right="0" w:firstLine="576"/>
        <w:jc w:val="left"/>
      </w:pPr>
      <w:r>
        <w:rPr>
          <w:u w:val="single"/>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50</w:t>
      </w:r>
      <w:r>
        <w:rPr/>
        <w:t xml:space="preserve">.</w:t>
      </w:r>
      <w:r>
        <w:t xml:space="preserve">4014</w:t>
      </w:r>
      <w:r>
        <w:rPr/>
        <w:t xml:space="preserve"> (Possession of forty grams or less of marijuana</w:t>
      </w:r>
      <w:r>
        <w:rPr>
          <w:rFonts w:ascii="Times New Roman" w:hAnsi="Times New Roman"/>
        </w:rPr>
        <w:t xml:space="preserve">—</w:t>
      </w:r>
      <w:r>
        <w:rPr/>
        <w:t xml:space="preserve">Penalty) and 2015 2nd sp.s. c 4 s 505 &amp; 2003 c 53 s 335;</w:t>
      </w:r>
    </w:p>
    <w:p>
      <w:pPr>
        <w:spacing w:before="0" w:after="0" w:line="408" w:lineRule="exact"/>
        <w:ind w:left="0" w:right="0" w:firstLine="576"/>
        <w:jc w:val="left"/>
      </w:pPr>
      <w:r>
        <w:t>(2)</w:t>
      </w:r>
      <w:r>
        <w:rPr/>
        <w:t xml:space="preserve">2015 c 291 s 8;</w:t>
      </w:r>
    </w:p>
    <w:p>
      <w:pPr>
        <w:spacing w:before="0" w:after="0" w:line="408" w:lineRule="exact"/>
        <w:ind w:left="0" w:right="0" w:firstLine="576"/>
        <w:jc w:val="left"/>
      </w:pPr>
      <w:r>
        <w:t>(3)</w:t>
      </w:r>
      <w:r>
        <w:rPr/>
        <w:t xml:space="preserve">2015 c 291 s 9;</w:t>
      </w:r>
    </w:p>
    <w:p>
      <w:pPr>
        <w:spacing w:before="0" w:after="0" w:line="408" w:lineRule="exact"/>
        <w:ind w:left="0" w:right="0" w:firstLine="576"/>
        <w:jc w:val="left"/>
      </w:pPr>
      <w:r>
        <w:t>(4)</w:t>
      </w:r>
      <w:r>
        <w:rPr/>
        <w:t xml:space="preserve">2013 2nd sp.s. c 14 s 1; and</w:t>
      </w:r>
    </w:p>
    <w:p>
      <w:pPr>
        <w:spacing w:before="0" w:after="0" w:line="408" w:lineRule="exact"/>
        <w:ind w:left="0" w:right="0" w:firstLine="576"/>
        <w:jc w:val="left"/>
      </w:pPr>
      <w:r>
        <w:t>(5)</w:t>
      </w:r>
      <w:r>
        <w:rPr/>
        <w:t xml:space="preserve">2013 2nd sp.s. c 14 s 10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1101 of this act applies to offenses sentenced on or after the effective date of this section regardless of the date of the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406 and 601 through 603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839b1f0530524e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ed032f21c47dd" /><Relationship Type="http://schemas.openxmlformats.org/officeDocument/2006/relationships/footer" Target="/word/footer.xml" Id="R839b1f0530524eaa" /></Relationships>
</file>