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e344f018f49d7" /></Relationships>
</file>

<file path=word/document.xml><?xml version="1.0" encoding="utf-8"?>
<w:document xmlns:w="http://schemas.openxmlformats.org/wordprocessingml/2006/main">
  <w:body>
    <w:p>
      <w:r>
        <w:t>S-2876.1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2nd Special Session</w:t>
      </w:r>
    </w:p>
    <w:p/>
    <w:p>
      <w:r>
        <w:rPr>
          <w:b/>
        </w:rPr>
        <w:t xml:space="preserve">By </w:t>
      </w:r>
      <w:r>
        <w:t>Senator Chase</w:t>
      </w:r>
    </w:p>
    <w:p/>
    <w:p>
      <w:r>
        <w:rPr>
          <w:t xml:space="preserve">Read first time 06/21/17.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taxing intangible personal property; repealing RCW 84.36.070;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84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070</w:t>
      </w:r>
      <w:r>
        <w:rPr/>
        <w:t xml:space="preserve"> (Intangible personal property</w:t>
      </w:r>
      <w:r>
        <w:rPr>
          <w:rFonts w:ascii="Times New Roman" w:hAnsi="Times New Roman"/>
        </w:rPr>
        <w:t xml:space="preserve">—</w:t>
      </w:r>
      <w:r>
        <w:rPr/>
        <w:t xml:space="preserve">Appraisal) and 1997 c 181 s 1, 1974 ex.s. c 118 s 1, &amp; 1961 c 15 s 84.36.070 are each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d1acffd0cf4a8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3c848dd224f60" /><Relationship Type="http://schemas.openxmlformats.org/officeDocument/2006/relationships/footer" Target="/word/footer.xml" Id="R65d1acffd0cf4a80" /></Relationships>
</file>