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0d47cff17844f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Saldaña, Billig, Palumbo, Frockt, Rolfes, Van De Wege, Liias, Ranker, Keiser, Pedersen, Hunt, Wellman, Conway, Chase, McCoy, Dhingra, Kuderer, Hasegawa, Nelson, Carlyle, and Mullet)</w:t>
      </w:r>
    </w:p>
    <w:p/>
    <w:p>
      <w:r>
        <w:rPr>
          <w:t xml:space="preserve">READ FIRST TIME 01/15/18.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and establishing a cause of action to redress lack of voter opportunity; amending RCW 36.32.020, 36.32.040, 54.12.010, and 2.06.030; adding a new section to chapter 28A.343 RCW; adding a new section to chapter 35.21 RCW; adding a new section to chapter 35A.21 RCW; adding a new section to chapter 52.14 RCW; adding a new section to chapter 53.12 RCW; adding a new section to chapter 29A.76 RCW; and adding a new chapter to Title 29A RCW.</w:t>
      </w:r>
    </w:p>
    <w:p>
      <w:r>
        <w:t/>
      </w:r>
    </w:p>
    <w:p>
      <w:r>
        <w:t>BE IT ENACTED BY THE LEGISLATURE OF THE STATE OF WASHINGTON:</w:t>
      </w:r>
    </w:p>
    <w:p>
      <w:pPr>
        <w:spacing w:before="240" w:after="0" w:line="408" w:lineRule="exact"/>
        <w:ind w:left="0" w:right="0" w:firstLine="576"/>
        <w:jc w:val="center"/>
      </w:pPr>
      <w:r>
        <w:rPr>
          <w:b/>
        </w:rPr>
        <w:t xml:space="preserve">PART I -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Washington voting rights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electoral systems that deny race, color, or language minority groups an equal opportunity to elect candidates of their choice are inconsistent with the right to free and equal elections as provided by Article I, section 19 and Article VI, section 1 of the Washington state Constitution as well as protections found in the fourteenth and fifteenth amendments to the United States Constitution. The well-established principle of "one person, one vote" and the prohibition on vote dilution have been consistently upheld in federal and state courts for more than fifty years.</w:t>
      </w:r>
    </w:p>
    <w:p>
      <w:pPr>
        <w:spacing w:before="0" w:after="0" w:line="408" w:lineRule="exact"/>
        <w:ind w:left="0" w:right="0" w:firstLine="576"/>
        <w:jc w:val="left"/>
      </w:pPr>
      <w:r>
        <w:rPr/>
        <w:t xml:space="preserve">The legislature also finds that local government subdivisions are often prohibited from addressing these challenges because of Washington laws that narrowly prescribe the methods by which they may elect members of their legislative bodies. The legislature finds that in some cases, this has resulted in an improper dilution of voting power for these minority groups. The legislature intends to modify existing prohibitions in state laws so that these jurisdictions may voluntarily adopt changes on their own, in collaboration with affected community members, to remedy potential electoral issues so that minority groups have an equal opportunity to elect candidates of their choice or influence the outcome of an election.</w:t>
      </w:r>
    </w:p>
    <w:p>
      <w:pPr>
        <w:spacing w:before="0" w:after="0" w:line="408" w:lineRule="exact"/>
        <w:ind w:left="0" w:right="0" w:firstLine="576"/>
        <w:jc w:val="left"/>
      </w:pPr>
      <w:r>
        <w:rPr/>
        <w:t xml:space="preserve">The legislature intends for this act to be consistent with federal protections that may provide a similar remedy for minority groups. Remedies shall also be available where the drawing of crossover and coalition districts is able to address both vote dilution and racial polarization.</w:t>
      </w:r>
    </w:p>
    <w:p>
      <w:pPr>
        <w:spacing w:before="0" w:after="0" w:line="408" w:lineRule="exact"/>
        <w:ind w:left="0" w:right="0" w:firstLine="576"/>
        <w:jc w:val="left"/>
      </w:pPr>
      <w:r>
        <w:rPr/>
        <w:t xml:space="preserve">The legislature also intends for this act to be consistent with legal precedent from </w:t>
      </w:r>
      <w:r>
        <w:rPr>
          <w:i/>
        </w:rPr>
        <w:t xml:space="preserve">Mt. Spokane Skiing Corp. v. Spokane Co.</w:t>
      </w:r>
      <w:r>
        <w:rPr/>
        <w:t xml:space="preserve"> (86 Wn. App. 165, 1997) that found that noncharter counties need not adhere to a single uniform county system of government, but that each county have the same "authority available" in order to be deemed uniform.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at-large with district-based elections.</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"Polarized voting" means voting in which there is a difference, as defined in case law regarding enforcement of the federal voting rights act, 52 U.S.C. 10301 et seq.,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(4)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 as this class is referenced and defined in the federal voting rights act, 52 U.S.C. 10301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provided in section 302 of this act, no method of electing the governing body of a political subdivision may be imposed or applied in a manner that impairs the ability of members of a protected class or classes to have an equal opportunity to elect candidates of their choice as a result of the dilution or abridgment of the rights of voters who are members of a protected class or classes.</w:t>
      </w:r>
    </w:p>
    <w:p>
      <w:pPr>
        <w:spacing w:before="240" w:after="0" w:line="408" w:lineRule="exact"/>
        <w:ind w:left="0" w:right="0" w:firstLine="576"/>
        <w:jc w:val="center"/>
      </w:pPr>
      <w:r>
        <w:rPr>
          <w:b/>
        </w:rPr>
        <w:t xml:space="preserve">PART II - VOLUNTARY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to remedy a potential violation of section 104 of this act.</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Prior to the adoption of its proposed plan, the political subdivision must provide public notice to the community about the proposed remedy to a potential violation of section 104 of this act. If a significant segment of the community has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403 of this act, shall prepare a plan for redistricting its districts, pursuant to RCW 29A.76.010, and in a manner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The school board of directors may authorize a change to its electoral system pursuant to section 201 of this act. Any staggering of directors' terms shall be accomplished as provided in RCW 28A.343.030 and 28A.343.600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The commissioners of any county may authorize a change to their electoral system pursuant to section 201 of this act. Except where necessary to comply with a court order issued pursuant to section 403 of this act, and except in the case of an intervening census, t</w:t>
      </w:r>
      <w:r>
        <w:rPr/>
        <w:t xml:space="preserve">he lines of the districts shall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1982 c 226 s 5 are each amended to read as follows:</w:t>
      </w:r>
    </w:p>
    <w:p>
      <w:pPr>
        <w:spacing w:before="0" w:after="0" w:line="408" w:lineRule="exact"/>
        <w:ind w:left="0" w:right="0" w:firstLine="576"/>
        <w:jc w:val="left"/>
      </w:pPr>
      <w:r>
        <w:rPr/>
        <w:t xml:space="preserve">(1) Except as provided in subsection (2)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u w:val="single"/>
        </w:rPr>
        <w:t xml:space="preserve">(3) The commissioners of any county may authorize a change to their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board of fire commissioners of a fire protection district may authorize a change to its electoral system pursuant to section 201 of this act by majority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port commission may authorize a change to its electoral system pursuant to section 201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t xml:space="preserve"> </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w:t>
      </w:r>
      <w:r>
        <w:rPr>
          <w:u w:val="single"/>
        </w:rPr>
        <w:t xml:space="preserve">or by a court order issued pursuant to section 403 of this act</w:t>
      </w:r>
      <w:r>
        <w:rPr/>
        <w:t xml:space="preserve">, and shall be examined every ten years to determine substantial equality of population in accordance with chapter 29A.76 RCW. Except as provided in this section </w:t>
      </w:r>
      <w:r>
        <w:t>((</w:t>
      </w:r>
      <w:r>
        <w:rPr>
          <w:strike/>
        </w:rPr>
        <w:t xml:space="preserve">or</w:t>
      </w:r>
      <w:r>
        <w:t>))</w:t>
      </w:r>
      <w:r>
        <w:rPr>
          <w:u w:val="single"/>
        </w:rPr>
        <w:t xml:space="preserve">, section 403 of this act,</w:t>
      </w:r>
      <w:r>
        <w:rPr/>
        <w:t xml:space="preserve"> RCW 54.04.039, </w:t>
      </w:r>
      <w:r>
        <w:rPr>
          <w:u w:val="single"/>
        </w:rPr>
        <w:t xml:space="preserve">or in the case of an intervening census,</w:t>
      </w:r>
      <w:r>
        <w:rPr/>
        <w:t xml:space="preserve"> the boundaries shall not be changed </w:t>
      </w:r>
      <w:r>
        <w:t>((</w:t>
      </w:r>
      <w:r>
        <w:rPr>
          <w:strike/>
        </w:rPr>
        <w:t xml:space="preserve">oftener</w:t>
      </w:r>
      <w:r>
        <w:t>))</w:t>
      </w:r>
      <w:r>
        <w:rPr/>
        <w:t xml:space="preserve"> </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240" w:after="0" w:line="408" w:lineRule="exact"/>
        <w:ind w:left="0" w:right="0" w:firstLine="576"/>
        <w:jc w:val="center"/>
      </w:pPr>
      <w:r>
        <w:rPr>
          <w:b/>
        </w:rPr>
        <w:t xml:space="preserve">PART III - CITIZEN-INITIATED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A person who intends to challenge a political subdivision's electoral system under this act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because of alleged vote dilution and polarized voting. The notice shall also include a type of remedy the person believes may address the alleged violation of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is in violation of this act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There is a significant risk that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The fact that members of a protected class are not geographically compact or concentrated to constitute a majority in a proposed or existing district-based election district shall not preclude a finding of a violation under this act,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t xml:space="preserve">(3) In determining whether there is polarized voting under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act shall be used to establish or rebut the existence of polarized voting.</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act shall not preclude a finding of polarized voting that results in an unequal opportunity for a protected class to elect candidates of their choice.</w:t>
      </w:r>
    </w:p>
    <w:p>
      <w:pPr>
        <w:spacing w:before="0" w:after="0" w:line="408" w:lineRule="exact"/>
        <w:ind w:left="0" w:right="0" w:firstLine="576"/>
        <w:jc w:val="left"/>
      </w:pPr>
      <w:r>
        <w:rPr/>
        <w:t xml:space="preserve">(5)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(6) Other factors such as the history of discrimination, the use of electoral devices or other voting practices or procedures that may enhance the dilutive effects of at-large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political subdivision shall work in good faith with the person providing the notice to implement a remedy that provides the protected class or classes identified in the notice an equal opportunity to elect candidates of their choice.</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which shall be subject to mandatory direct appeal to the supreme court, acknowledging that the political subdivision's remedy complies with section 104 of this act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w:t>
      </w:r>
    </w:p>
    <w:p>
      <w:pPr>
        <w:spacing w:before="0" w:after="0" w:line="408" w:lineRule="exact"/>
        <w:ind w:left="0" w:right="0" w:firstLine="576"/>
        <w:jc w:val="left"/>
      </w:pPr>
      <w:r>
        <w:rPr/>
        <w:t xml:space="preserve">(3) If the court concludes that the political subdivision's remedy complies with section 104 of this act, an action under this act may not be brought against that political subdivision for four years by any party so long as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(4) In agreeing to adopt the person's proposed remedy, the political subdivision may do so by stipulation, which shall become a public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may file an action under this act if, one hundred eighty days after a political subdivision receives notice of a challenge to its electoral system under section 301 of this act, the political subdivision has not obtained a court order stating that it has adopted a remedy in compliance with section 104 of this act.</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which is subject to mandatory direct appeal to the supreme court, acknowledging that the political subdivision's remedy complies with section 104 of this act and was prompted by a plausible violation. The persons who submitted notices may support or oppose such an order. The political subdivision must provide all political, census, and demographic data and any analysis of that data used to develop the remedy in its filings seeking the court order.</w:t>
      </w:r>
    </w:p>
    <w:p>
      <w:pPr>
        <w:spacing w:before="0" w:after="0" w:line="408" w:lineRule="exact"/>
        <w:ind w:left="0" w:right="0" w:firstLine="576"/>
        <w:jc w:val="left"/>
      </w:pPr>
      <w:r>
        <w:rPr/>
        <w:t xml:space="preserve">(3) If the court concludes that the political subdivision's remedy complies with section 104 of this act, an action under this act may not be brought against that political subdivision for four years by any party so long as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030</w:t>
      </w:r>
      <w:r>
        <w:rPr/>
        <w:t xml:space="preserve"> and 1980 c 76 s 3 are each amended to read as follows:</w:t>
      </w:r>
    </w:p>
    <w:p>
      <w:pPr>
        <w:spacing w:before="0" w:after="0" w:line="408" w:lineRule="exact"/>
        <w:ind w:left="0" w:right="0" w:firstLine="576"/>
        <w:jc w:val="left"/>
      </w:pPr>
      <w:r>
        <w:rPr/>
        <w:t xml:space="preserve">The administration and procedures of the court shall be as provided by rules of the supreme court. The court shall be vested with all power and authority, not inconsistent with said rules, necessary to carry into complete execution all of its judgments, decrees and determinations in all matters within its jurisdiction, according to the rules and principles of the common law and the Constitution and laws of this state.</w:t>
      </w:r>
    </w:p>
    <w:p>
      <w:pPr>
        <w:spacing w:before="0" w:after="0" w:line="408" w:lineRule="exact"/>
        <w:ind w:left="0" w:right="0" w:firstLine="576"/>
        <w:jc w:val="left"/>
      </w:pPr>
      <w:r>
        <w:rPr/>
        <w:t xml:space="preserve">For the prompt and orderly administration of justice, the supreme court may (1) transfer to the appropriate division of the court for decision a case or appeal pending before the supreme court; or (2) transfer to the supreme court for decision a case or appeal pending in a division of the court.</w:t>
      </w:r>
    </w:p>
    <w:p>
      <w:pPr>
        <w:spacing w:before="0" w:after="0" w:line="408" w:lineRule="exact"/>
        <w:ind w:left="0" w:right="0" w:firstLine="576"/>
        <w:jc w:val="left"/>
      </w:pPr>
      <w:r>
        <w:rPr/>
        <w:t xml:space="preserve">Subject to the provisions of this section, the court shall have exclusive appellate jurisdiction in all cases except:</w:t>
      </w:r>
    </w:p>
    <w:p>
      <w:pPr>
        <w:spacing w:before="0" w:after="0" w:line="408" w:lineRule="exact"/>
        <w:ind w:left="0" w:right="0" w:firstLine="576"/>
        <w:jc w:val="left"/>
      </w:pPr>
      <w:r>
        <w:rPr/>
        <w:t xml:space="preserve">(a) cases of quo warranto, prohibition, injunction or mandamus directed to state officials;</w:t>
      </w:r>
    </w:p>
    <w:p>
      <w:pPr>
        <w:spacing w:before="0" w:after="0" w:line="408" w:lineRule="exact"/>
        <w:ind w:left="0" w:right="0" w:firstLine="576"/>
        <w:jc w:val="left"/>
      </w:pPr>
      <w:r>
        <w:rPr/>
        <w:t xml:space="preserve">(b) criminal cases where the death penalty has been decreed;</w:t>
      </w:r>
    </w:p>
    <w:p>
      <w:pPr>
        <w:spacing w:before="0" w:after="0" w:line="408" w:lineRule="exact"/>
        <w:ind w:left="0" w:right="0" w:firstLine="576"/>
        <w:jc w:val="left"/>
      </w:pPr>
      <w:r>
        <w:rPr/>
        <w:t xml:space="preserve">(c) cases where the validity of all or any portion of a statute, ordinance, tax, impost, assessment or toll is drawn into question on the grounds of repugnancy to the Constitution of the United States or of the state of Washington, or to a statute or treaty of the United States, and the superior court has held against its validity;</w:t>
      </w:r>
    </w:p>
    <w:p>
      <w:pPr>
        <w:spacing w:before="0" w:after="0" w:line="408" w:lineRule="exact"/>
        <w:ind w:left="0" w:right="0" w:firstLine="576"/>
        <w:jc w:val="left"/>
      </w:pPr>
      <w:r>
        <w:rPr/>
        <w:t xml:space="preserve">(d) cases involving fundamental and urgent issues of broad public import requiring prompt and ultimate determination; and</w:t>
      </w:r>
    </w:p>
    <w:p>
      <w:pPr>
        <w:spacing w:before="0" w:after="0" w:line="408" w:lineRule="exact"/>
        <w:ind w:left="0" w:right="0" w:firstLine="576"/>
        <w:jc w:val="left"/>
      </w:pPr>
      <w:r>
        <w:rPr/>
        <w:t xml:space="preserve">(e) cases involving substantive issues on which there is a direct conflict among prevailing decisions of panels of the court or between decisions of the supreme court;</w:t>
      </w:r>
    </w:p>
    <w:p>
      <w:pPr>
        <w:spacing w:before="0" w:after="0" w:line="408" w:lineRule="exact"/>
        <w:ind w:left="0" w:right="0" w:firstLine="0"/>
        <w:jc w:val="left"/>
      </w:pPr>
      <w:r>
        <w:rPr/>
        <w:t xml:space="preserve">all of which shall be appealed directly to the supreme court: PROVIDED, That whenever a majority of the court before which an appeal is pending, but before a hearing thereon, is in doubt as to whether such appeal is within the categories set forth in subsection (d) or (e) of this section, the cause shall be certified to the supreme court for such determination.</w:t>
      </w:r>
    </w:p>
    <w:p>
      <w:pPr>
        <w:spacing w:before="0" w:after="0" w:line="408" w:lineRule="exact"/>
        <w:ind w:left="0" w:right="0" w:firstLine="576"/>
        <w:jc w:val="left"/>
      </w:pPr>
      <w:r>
        <w:rPr/>
        <w:t xml:space="preserve">The appellate jurisdiction of the court of appeals does not extend to civil actions at law for the recovery of money or personal property when the original amount in controversy, or the value of the property does not exceed the sum of two hundred dollars.</w:t>
      </w:r>
    </w:p>
    <w:p>
      <w:pPr>
        <w:spacing w:before="0" w:after="0" w:line="408" w:lineRule="exact"/>
        <w:ind w:left="0" w:right="0" w:firstLine="576"/>
        <w:jc w:val="left"/>
      </w:pPr>
      <w:r>
        <w:rPr/>
        <w:t xml:space="preserve">The court shall have appellate jurisdiction over review of final decisions of administrative agencies certified by the superior court pursuant to RCW 34.05.518.</w:t>
      </w:r>
    </w:p>
    <w:p>
      <w:pPr>
        <w:spacing w:before="0" w:after="0" w:line="408" w:lineRule="exact"/>
        <w:ind w:left="0" w:right="0" w:firstLine="576"/>
        <w:jc w:val="left"/>
      </w:pPr>
      <w:r>
        <w:rPr>
          <w:u w:val="single"/>
        </w:rPr>
        <w:t xml:space="preserve">The court has mandatory appellate jurisdiction over superior court orders regarding remedies sought by political subdivisions pursuant to sections 303 and 304 of this act.</w:t>
      </w:r>
    </w:p>
    <w:p>
      <w:pPr>
        <w:spacing w:before="0" w:after="0" w:line="408" w:lineRule="exact"/>
        <w:ind w:left="0" w:right="0" w:firstLine="576"/>
        <w:jc w:val="left"/>
      </w:pPr>
      <w:r>
        <w:rPr/>
        <w:t xml:space="preserve">Appeals from the court to the supreme court shall be only at the discretion of the supreme court upon the filing of a petition for review. No case, appeal or petition for a writ filed in the supreme court or the court shall be dismissed for the reason that it was not filed in the proper court, but it shall be transferred to the proper court.</w:t>
      </w:r>
    </w:p>
    <w:p>
      <w:pPr>
        <w:spacing w:before="240" w:after="0" w:line="408" w:lineRule="exact"/>
        <w:ind w:left="0" w:right="0" w:firstLine="576"/>
        <w:jc w:val="center"/>
      </w:pPr>
      <w:r>
        <w:rPr>
          <w:b/>
        </w:rPr>
        <w:t xml:space="preserve">PART IV - SAFE HARBOR AND LEGAL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After exhaustion of the time period in section 304 of this act, any voter who resides in a political subdivision where a violation of section 104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Members of different protected classes may file an action jointly pursuant to this act if they demonstrate that the combined voting preferences of the multiple protected classes are polarized against the rest of the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action filed pursuant to this act,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For purposes of any applicable statute of limitations, a cause of action under this act arises every time there is an election for any members of the governing body of the political subdivision.</w:t>
      </w:r>
    </w:p>
    <w:p>
      <w:pPr>
        <w:spacing w:before="0" w:after="0" w:line="408" w:lineRule="exact"/>
        <w:ind w:left="0" w:right="0" w:firstLine="576"/>
        <w:jc w:val="left"/>
      </w:pPr>
      <w:r>
        <w:rPr/>
        <w:t xml:space="preserve">(3) The plaintiff's constitutional right to the secrecy of the plaintiff's vote is preserved and is not waived by the filing of an action pursuant to this act, and the filing is not subject to discovery or disclosure.</w:t>
      </w:r>
    </w:p>
    <w:p>
      <w:pPr>
        <w:spacing w:before="0" w:after="0" w:line="408" w:lineRule="exact"/>
        <w:ind w:left="0" w:right="0" w:firstLine="576"/>
        <w:jc w:val="left"/>
      </w:pPr>
      <w:r>
        <w:rPr/>
        <w:t xml:space="preserve">(4)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(5) No notice may be submitted to any political subdivision pursuant to this act before July 19,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may order appropriate remedies including, but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section 104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action under this act may be brought by any person against a political subdivision that has adopted a remedy to its electoral system after an action is filed that is approved by a court pursuant to section 303 of this act or implemented a court-ordered remedy pursuant to section 403 of this act for four years after adoption of the remedy if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(2) No action under this act may be brought by any person against a political subdivision that has adopted a remedy to its electoral system in the previous decade before the effective date of this section as a result of a claim under the federal voting rights act until after the political subdivision completes redistricting pursuant to RCW 29A.76.010 for the 2020 decennial census.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 No fees or costs may be awarded if no action is filed.</w:t>
      </w:r>
    </w:p>
    <w:p>
      <w:pPr>
        <w:spacing w:before="0" w:after="0" w:line="408" w:lineRule="exact"/>
        <w:ind w:left="0" w:right="0" w:firstLine="576"/>
        <w:jc w:val="left"/>
      </w:pPr>
      <w:r>
        <w:rPr/>
        <w:t xml:space="preserve">(2) Prevailing defendants may recover an award of fees or costs pursuant to RCW 4.84.185.</w:t>
      </w:r>
    </w:p>
    <w:p>
      <w:pPr>
        <w:spacing w:before="240" w:after="0" w:line="408" w:lineRule="exact"/>
        <w:ind w:left="0" w:right="0" w:firstLine="576"/>
        <w:jc w:val="center"/>
      </w:pPr>
      <w:r>
        <w:rPr>
          <w:b/>
        </w:rPr>
        <w:t xml:space="preserve">PART 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provisions of parts I, III, and IV of this act are not applicable to cities and towns with populations under one thousand or to school districts with K-12 full-time equivalent enrollments of less than two hundred fifty.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In any change to its electoral system under section 201 of this act or preparation of a subsequent redistricting plan, political subdivisions may use population data regarding political parties only to the extent necessary to ensure compliance with this act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comply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202, 301 through 501, and 503 of this act constitute a new chapter in </w:t>
      </w:r>
      <w:r>
        <w:rPr/>
        <w:t xml:space="preserve">Title </w:t>
      </w:r>
      <w:r>
        <w:t xml:space="preserve">29A</w:t>
      </w:r>
      <w:r>
        <w:rPr/>
        <w:t xml:space="preserve"> RCW</w:t>
      </w:r>
      <w:r>
        <w:rPr/>
        <w:t xml:space="preserve">.</w:t>
      </w:r>
    </w:p>
    <w:p/>
    <w:p>
      <w:pPr>
        <w:jc w:val="center"/>
      </w:pPr>
      <w:r>
        <w:rPr>
          <w:b/>
        </w:rPr>
        <w:t>--- END ---</w:t>
      </w:r>
    </w:p>
    <w:sectPr>
      <w:pgNumType w:start="1"/>
      <w:footerReference xmlns:r="http://schemas.openxmlformats.org/officeDocument/2006/relationships" r:id="Raaf8c0b01eb445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180ab968b24c2d" /><Relationship Type="http://schemas.openxmlformats.org/officeDocument/2006/relationships/footer" Target="/word/footer.xml" Id="Raaf8c0b01eb44545" /></Relationships>
</file>