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468c617d241cd" /></Relationships>
</file>

<file path=word/document.xml><?xml version="1.0" encoding="utf-8"?>
<w:document xmlns:w="http://schemas.openxmlformats.org/wordprocessingml/2006/main">
  <w:body>
    <w:p>
      <w:r>
        <w:t>S-4773.1</w:t>
      </w:r>
    </w:p>
    <w:p>
      <w:pPr>
        <w:jc w:val="center"/>
      </w:pPr>
      <w:r>
        <w:t>_______________________________________________</w:t>
      </w:r>
    </w:p>
    <w:p/>
    <w:p>
      <w:pPr>
        <w:jc w:val="center"/>
      </w:pPr>
      <w:r>
        <w:rPr>
          <w:b/>
        </w:rPr>
        <w:t>SECOND SUBSTITUTE SENATE BILL 6029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Liias, Ranker, Fain, Frockt, Billig, Darneille, Palumbo, Rolfes, Keiser, Cleveland, Pedersen, Hunt, Wellman, Conway, Chase, Saldaña, Kuderer, Hasegawa, and Mullet; by request of Attorney General)</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0" w:after="0" w:line="408" w:lineRule="exact"/>
        <w:ind w:left="0" w:right="0" w:firstLine="576"/>
        <w:jc w:val="left"/>
      </w:pPr>
      <w:r>
        <w:rPr/>
        <w:t xml:space="preserve">(8) Implementation of this section by the council is subject to the availability of amounts appropriated and the balance of the student loan advocate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0" w:after="0" w:line="408" w:lineRule="exact"/>
        <w:ind w:left="0" w:right="0" w:firstLine="576"/>
        <w:jc w:val="left"/>
      </w:pPr>
      <w:r>
        <w:rPr/>
        <w:t xml:space="preserve">(4)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u w:val="single"/>
        </w:rPr>
        <w:t xml:space="preserve">(4)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program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receiving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0" w:after="0" w:line="408" w:lineRule="exact"/>
        <w:ind w:left="0" w:right="0" w:firstLine="576"/>
        <w:jc w:val="left"/>
      </w:pPr>
      <w:r>
        <w:rPr/>
        <w:t xml:space="preserve">(8)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 The director's obligations or duties under this section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Persons providing third-party student education loan modification services are exempt from having to obtain and maintain a license in accordance with this chapter.</w:t>
      </w:r>
    </w:p>
    <w:p>
      <w:pPr>
        <w:spacing w:before="0" w:after="0" w:line="408" w:lineRule="exact"/>
        <w:ind w:left="0" w:right="0" w:firstLine="576"/>
        <w:jc w:val="left"/>
      </w:pPr>
      <w:r>
        <w:rPr/>
        <w:t xml:space="preserve">(3)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0" w:after="0" w:line="408" w:lineRule="exact"/>
        <w:ind w:left="0" w:right="0" w:firstLine="576"/>
        <w:jc w:val="left"/>
      </w:pPr>
      <w:r>
        <w:rPr>
          <w:u w:val="single"/>
        </w:rPr>
        <w:t xml:space="preserve">(13)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u w:val="single"/>
        </w:rPr>
        <w:t xml:space="preserve">(6)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student loan authorities that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and characteristics of state-operated loan refinance programs in other states, including borrower requirements;</w:t>
      </w:r>
    </w:p>
    <w:p>
      <w:pPr>
        <w:spacing w:before="0" w:after="0" w:line="408" w:lineRule="exact"/>
        <w:ind w:left="0" w:right="0" w:firstLine="576"/>
        <w:jc w:val="left"/>
      </w:pPr>
      <w:r>
        <w:rPr/>
        <w:t xml:space="preserve">(c) Review available literature on the impacts of borrower requirements of similar programs;</w:t>
      </w:r>
    </w:p>
    <w:p>
      <w:pPr>
        <w:spacing w:before="0" w:after="0" w:line="408" w:lineRule="exact"/>
        <w:ind w:left="0" w:right="0" w:firstLine="576"/>
        <w:jc w:val="left"/>
      </w:pPr>
      <w:r>
        <w:rPr/>
        <w:t xml:space="preserve">(d) Estimate potential savings and costs to undergraduate and graduate borrowers from differences in interest rates of loans refinanced by the state as compared to similarly situated borrowers of federal direct loans and private loans, issued one, five, and ten years ago; and</w:t>
      </w:r>
    </w:p>
    <w:p>
      <w:pPr>
        <w:spacing w:before="0" w:after="0" w:line="408" w:lineRule="exact"/>
        <w:ind w:left="0" w:right="0" w:firstLine="576"/>
        <w:jc w:val="left"/>
      </w:pPr>
      <w:r>
        <w:rPr/>
        <w:t xml:space="preserve">(e) Consider the value of repayment and forgiveness options that may be lost to a borrower of a federal student education loan who chooses to refinance, including income-driven repayment options, economic hardship deferments, or public service loan forgiveness.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and the director or director's designees do not have any enforcement, examination, or reporting obligations or duties under this act until January 1, 2019, or until the final adoption of rules pursuant to this act,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
      <w:pPr>
        <w:jc w:val="center"/>
      </w:pPr>
      <w:r>
        <w:rPr>
          <w:b/>
        </w:rPr>
        <w:t>--- END ---</w:t>
      </w:r>
    </w:p>
    <w:sectPr>
      <w:pgNumType w:start="1"/>
      <w:footerReference xmlns:r="http://schemas.openxmlformats.org/officeDocument/2006/relationships" r:id="Rf2fc4d94448344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f9c2a24474525" /><Relationship Type="http://schemas.openxmlformats.org/officeDocument/2006/relationships/footer" Target="/word/footer.xml" Id="Rf2fc4d94448344c1" /></Relationships>
</file>