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115527f704f2d" /></Relationships>
</file>

<file path=word/document.xml><?xml version="1.0" encoding="utf-8"?>
<w:document xmlns:w="http://schemas.openxmlformats.org/wordprocessingml/2006/main">
  <w:body>
    <w:p>
      <w:r>
        <w:t>S-3352.1</w:t>
      </w:r>
    </w:p>
    <w:p>
      <w:pPr>
        <w:jc w:val="center"/>
      </w:pPr>
      <w:r>
        <w:t>_______________________________________________</w:t>
      </w:r>
    </w:p>
    <w:p/>
    <w:p>
      <w:pPr>
        <w:jc w:val="center"/>
      </w:pPr>
      <w:r>
        <w:rPr>
          <w:b/>
        </w:rPr>
        <w:t>SENATE BILL 6042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Angel, and Mullet</w:t>
      </w:r>
    </w:p>
    <w:p/>
    <w:p>
      <w:r>
        <w:rPr>
          <w:t xml:space="preserve">Prefiled 12/21/17.</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contract providers; amending RCW 48.110.017, 48.110.030, 48.110.055, 48.110.130, and 48.110.902; and adding a new section to chapter 48.110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 without regard to whether such items are so attached or installed,</w:t>
      </w:r>
      <w:r>
        <w:rPr/>
        <w:t xml:space="preserve"> with or without coverage of appliances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net worth or stockholder's equity of two hundred thousand dollars or more calculated in accordance with section 6 of this act</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net worth or stockholder's equity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net worth or stockholder's equity of two hundred thousand dollars or more calculated in accordance with section 6 of this act</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net worth or stockholder's equity in accordance with the applicable requirements of subsection (3)(e) of this section</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rPr/>
        <w:t xml:space="preserve">(a) The provider </w:t>
      </w:r>
      <w:r>
        <w:t>((</w:t>
      </w:r>
      <w:r>
        <w:rPr>
          <w:strike/>
        </w:rPr>
        <w:t xml:space="preserve">is insolvent</w:t>
      </w:r>
      <w:r>
        <w:t>))</w:t>
      </w:r>
      <w:r>
        <w:rPr/>
        <w:t xml:space="preserve"> </w:t>
      </w:r>
      <w:r>
        <w:rPr>
          <w:u w:val="single"/>
        </w:rPr>
        <w:t xml:space="preserve">does not maintain the minimum net worth required by this chapter</w:t>
      </w:r>
      <w:r>
        <w:rPr/>
        <w:t xml:space="preserve">;</w:t>
      </w:r>
    </w:p>
    <w:p>
      <w:pPr>
        <w:spacing w:before="0" w:after="0" w:line="408" w:lineRule="exact"/>
        <w:ind w:left="0" w:right="0" w:firstLine="576"/>
        <w:jc w:val="left"/>
      </w:pPr>
      <w:r>
        <w:rPr/>
        <w:t xml:space="preserve">(b)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rPr/>
        <w:t xml:space="preserve">(c)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However,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However, a protection product guarantee provider may elect to use statutory accounting principles in lieu of generally accepted accounting principles.</w:t>
      </w:r>
    </w:p>
    <w:p/>
    <w:p>
      <w:pPr>
        <w:jc w:val="center"/>
      </w:pPr>
      <w:r>
        <w:rPr>
          <w:b/>
        </w:rPr>
        <w:t>--- END ---</w:t>
      </w:r>
    </w:p>
    <w:sectPr>
      <w:pgNumType w:start="1"/>
      <w:footerReference xmlns:r="http://schemas.openxmlformats.org/officeDocument/2006/relationships" r:id="Rdd039d2cf82b4c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fb567f66f4644" /><Relationship Type="http://schemas.openxmlformats.org/officeDocument/2006/relationships/footer" Target="/word/footer.xml" Id="Rdd039d2cf82b4c53" /></Relationships>
</file>