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aac90a1af4dcb" /></Relationships>
</file>

<file path=word/document.xml><?xml version="1.0" encoding="utf-8"?>
<w:document xmlns:w="http://schemas.openxmlformats.org/wordprocessingml/2006/main">
  <w:body>
    <w:p>
      <w:r>
        <w:t>S-3554.1</w:t>
      </w:r>
    </w:p>
    <w:p>
      <w:pPr>
        <w:jc w:val="center"/>
      </w:pPr>
      <w:r>
        <w:t>_______________________________________________</w:t>
      </w:r>
    </w:p>
    <w:p/>
    <w:p>
      <w:pPr>
        <w:jc w:val="center"/>
      </w:pPr>
      <w:r>
        <w:rPr>
          <w:b/>
        </w:rPr>
        <w:t>SENATE BILL 6090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Honeyford, Mullet, Darneille, Liias, Palumbo, Takko, Keiser, Van De Wege, Hunt, Nelson, Dhingra, Chase, Saldaña, Rolfes, McCoy, Carlyle, Wellman, Ranker, and Kuderer</w:t>
      </w:r>
    </w:p>
    <w:p/>
    <w:p>
      <w:r>
        <w:rPr>
          <w:t xml:space="preserve">Prefiled 01/05/18.</w:t>
        </w:rPr>
      </w:r>
      <w:r>
        <w:rPr>
          <w:t xml:space="preserve">Read first time 01/08/18.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28B.20.725, and 28B.30.750; reenacting and amending RCW 43.19.501; amending 2017 3rd sp.s. c 4 ss 1017, 1040, 1048, 2001, and 3120 (uncodified); creating new sections; repealing 2017 3rd sp.s. c 4 ss 3043, 3059, and 3134 (uncodified);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July 1, 2017, and ending June 30, 2019, out of the several funds specified in this act. This authorization extends to reimbursement of any expenses incurred between July 1, 2017, and the effective date of this act that would have been authorized to occur or to be reimbursed under the terms of this act had it been in effect on July 1, 2017.</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Capital Budget Staffing Study (92000004)</w:t>
      </w:r>
    </w:p>
    <w:p>
      <w:pPr>
        <w:spacing w:before="120" w:after="0" w:line="408" w:lineRule="exact"/>
        <w:ind w:left="0" w:right="0" w:firstLine="576"/>
        <w:jc w:val="left"/>
      </w:pPr>
      <w:r>
        <w:rPr/>
        <w:t xml:space="preserve">The appropriation in this section is subject to the following conditions and limitations: $50,000 of the appropriation in this section, or as much thereof as may be needed, is provided solely for a study of staff funded by capital budget appropriations. The study must address, at a minimum, the following:</w:t>
      </w:r>
    </w:p>
    <w:p>
      <w:pPr>
        <w:spacing w:before="0" w:after="0" w:line="408" w:lineRule="exact"/>
        <w:ind w:left="0" w:right="0" w:firstLine="576"/>
        <w:jc w:val="left"/>
      </w:pPr>
      <w:r>
        <w:rPr/>
        <w:t xml:space="preserve">(1) The number of full time equivalent state employees funded by:</w:t>
      </w:r>
    </w:p>
    <w:p>
      <w:pPr>
        <w:spacing w:before="0" w:after="0" w:line="408" w:lineRule="exact"/>
        <w:ind w:left="0" w:right="0" w:firstLine="576"/>
        <w:jc w:val="left"/>
      </w:pPr>
      <w:r>
        <w:rPr/>
        <w:t xml:space="preserve">(a) Direct capital budget appropriations for capital program administration;</w:t>
      </w:r>
    </w:p>
    <w:p>
      <w:pPr>
        <w:spacing w:before="0" w:after="0" w:line="408" w:lineRule="exact"/>
        <w:ind w:left="0" w:right="0" w:firstLine="576"/>
        <w:jc w:val="left"/>
      </w:pPr>
      <w:r>
        <w:rPr/>
        <w:t xml:space="preserve">(b) Funds used for administration of grants and loans;</w:t>
      </w:r>
    </w:p>
    <w:p>
      <w:pPr>
        <w:spacing w:before="0" w:after="0" w:line="408" w:lineRule="exact"/>
        <w:ind w:left="0" w:right="0" w:firstLine="576"/>
        <w:jc w:val="left"/>
      </w:pPr>
      <w:r>
        <w:rPr/>
        <w:t xml:space="preserve">(c) Grants and loans for capital projects; and</w:t>
      </w:r>
    </w:p>
    <w:p>
      <w:pPr>
        <w:spacing w:before="0" w:after="0" w:line="408" w:lineRule="exact"/>
        <w:ind w:left="0" w:right="0" w:firstLine="576"/>
        <w:jc w:val="left"/>
      </w:pPr>
      <w:r>
        <w:rPr/>
        <w:t xml:space="preserve">(d) Any other capital budget appropriation;</w:t>
      </w:r>
    </w:p>
    <w:p>
      <w:pPr>
        <w:spacing w:before="0" w:after="0" w:line="408" w:lineRule="exact"/>
        <w:ind w:left="0" w:right="0" w:firstLine="576"/>
        <w:jc w:val="left"/>
      </w:pPr>
      <w:r>
        <w:rPr/>
        <w:t xml:space="preserve">(2) The number of full time equivalent state employees funded through bonds; and</w:t>
      </w:r>
    </w:p>
    <w:p>
      <w:pPr>
        <w:spacing w:before="0" w:after="0" w:line="408" w:lineRule="exact"/>
        <w:ind w:left="0" w:right="0" w:firstLine="576"/>
        <w:jc w:val="left"/>
      </w:pPr>
      <w:r>
        <w:rPr/>
        <w:t xml:space="preserve">(3) The number of full time equivalent state employees funded through other 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 The design of the facility must consider the state printer remaining at the current location, or the design of the facility at a new location.</w:t>
      </w:r>
    </w:p>
    <w:p>
      <w:pPr>
        <w:spacing w:before="0" w:after="0" w:line="408" w:lineRule="exact"/>
        <w:ind w:left="0" w:right="0" w:firstLine="576"/>
        <w:jc w:val="left"/>
      </w:pPr>
      <w:r>
        <w:rPr/>
        <w:t xml:space="preserve">(2) All capital budget expenses, less current and previous appropriations, must be financed with a certificate of participation or other financing method fully supported using fees collected by the secretary of state. The secretary of state may consider the adjustment of fees, including the heritage center account, to support construction,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chapter 327, Laws of 2017 (Substitute Senate Bill No. 5472). Grants must be administered to counties at no more than $1,000 per location by the secretary of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$43,400,000 of the state building construction account</w:t>
      </w:r>
      <w:r>
        <w:rPr>
          <w:rFonts w:ascii="Times New Roman" w:hAnsi="Times New Roman"/>
        </w:rPr>
        <w:t xml:space="preserve">—</w:t>
      </w:r>
      <w:r>
        <w:rPr/>
        <w:t xml:space="preserve">state appropriation, and $5,370,000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Pine street owned by the state board of community and technical colleges. The property must be used to provide services and housing for homeless youth.</w:t>
      </w:r>
    </w:p>
    <w:p>
      <w:pPr>
        <w:spacing w:before="0" w:after="0" w:line="408" w:lineRule="exact"/>
        <w:ind w:left="0" w:right="0" w:firstLine="576"/>
        <w:jc w:val="left"/>
      </w:pPr>
      <w:r>
        <w:rPr/>
        <w:t xml:space="preserve">(f) $21,987,000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$3,000,000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housing project.</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$5,370,000</w:t>
      </w:r>
    </w:p>
    <w:p>
      <w:pPr>
        <w:tabs>
          <w:tab w:val="right" w:leader="dot" w:pos="9936"/>
        </w:tabs>
        <w:ind w:left="0" w:right="0" w:firstLine="1440"/>
      </w:pPr>
      <w:r>
        <w:rPr/>
        <w:t xml:space="preserve">Subtotal Appropriation</w:t>
      </w:r>
      <w:r>
        <w:tab/>
      </w:r>
      <w:r>
        <w:rPr/>
        <w:t xml:space="preserve">$106,770,000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(King)</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(Clark)</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(Whatcom)</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1017</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6003 of this act.</w:t>
      </w:r>
    </w:p>
    <w:p>
      <w:pPr>
        <w:spacing w:before="0" w:after="0" w:line="408" w:lineRule="exact"/>
        <w:ind w:left="0" w:right="0" w:firstLine="576"/>
        <w:jc w:val="left"/>
      </w:pPr>
      <w:r>
        <w:rPr>
          <w:u w:val="single"/>
        </w:rPr>
        <w:t xml:space="preserve">(2) $200,000 of the reappropriation is provided solely for credit enhancements of advanced solar and renewable energy manufacturing within Washington state.</w:t>
      </w:r>
    </w:p>
    <w:p>
      <w:pPr>
        <w:spacing w:before="0" w:after="0" w:line="408" w:lineRule="exact"/>
        <w:ind w:left="0" w:right="0" w:firstLine="576"/>
        <w:jc w:val="left"/>
      </w:pPr>
      <w:r>
        <w:rPr>
          <w:u w:val="single"/>
        </w:rPr>
        <w:t xml:space="preserve">(3) $13,600,000 of the reappropriation is provided solely to create a revolving loan fund to support the widespread use of proven energy efficiency and renewable energy, and transportation electrification technologies, including electric vehicle charging infrastructure and equipment for cars, trucks, and buses, upgrades to facilitate such as equipment and infrastructure, and acquisition of zero-emission buses and class 4-8 vehicles, including but not limited to trucks and passenger shuttles, now inhibited by lack of access to capital.</w:t>
      </w:r>
    </w:p>
    <w:p>
      <w:pPr>
        <w:spacing w:before="0" w:after="0" w:line="408" w:lineRule="exact"/>
        <w:ind w:left="0" w:right="0" w:firstLine="576"/>
        <w:jc w:val="left"/>
      </w:pPr>
      <w:r>
        <w:rPr>
          <w:u w:val="single"/>
        </w:rPr>
        <w:t xml:space="preserve">(4) $3,200,000 of the reappropriation is provided solely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$2,400,000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0" w:after="0" w:line="408" w:lineRule="exact"/>
        <w:ind w:left="0" w:right="0" w:firstLine="576"/>
        <w:jc w:val="left"/>
      </w:pPr>
      <w:r>
        <w:rPr/>
        <w:t xml:space="preserve">Brigid Collins House - (Brigid Collins</w:t>
      </w:r>
    </w:p>
    <w:p>
      <w:pPr>
        <w:spacing w:before="0" w:after="0" w:line="408" w:lineRule="exact"/>
        <w:ind w:left="0" w:right="0" w:firstLine="1152"/>
        <w:jc w:val="left"/>
        <w:tabs>
          <w:tab w:val="right" w:leader="dot" w:pos="9936"/>
        </w:tabs>
      </w:pPr>
      <w:r>
        <w:rPr/>
        <w:t xml:space="preserve">Family Support Center)</w:t>
      </w:r>
      <w:r>
        <w:tab/>
      </w:r>
      <w:r>
        <w:rPr/>
        <w:t xml:space="preserve">$42,000</w:t>
      </w:r>
    </w:p>
    <w:p>
      <w:pPr>
        <w:spacing w:before="0" w:after="0" w:line="408" w:lineRule="exact"/>
        <w:ind w:left="0" w:right="0" w:firstLine="576"/>
        <w:jc w:val="left"/>
        <w:tabs>
          <w:tab w:val="right" w:leader="dot" w:pos="9936"/>
        </w:tabs>
      </w:pPr>
      <w:r>
        <w:rPr/>
        <w:t xml:space="preserve">Step By Step Family Support Center</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tabs>
          <w:tab w:val="right" w:leader="dot" w:pos="9936"/>
        </w:tabs>
      </w:pPr>
      <w:r>
        <w:rPr/>
        <w:t xml:space="preserve">Asia Pacific Cultural Center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tabs>
          <w:tab w:val="right" w:leader="dot" w:pos="9936"/>
        </w:tabs>
      </w:pPr>
      <w:r>
        <w:rPr/>
        <w:t xml:space="preserve">Goodwill Job Training &amp; Resource Center (Pasco)</w:t>
      </w:r>
      <w:r>
        <w:tab/>
      </w:r>
      <w:r>
        <w:rPr/>
        <w:t xml:space="preserve">$132,000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$1,500,000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These state funds are contingent on securing at least $1,000,000 in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$130,661,000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$130,661,000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$3,504,000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120" w:after="0" w:line="408" w:lineRule="exact"/>
        <w:ind w:left="0" w:right="0" w:firstLine="576"/>
        <w:jc w:val="left"/>
      </w:pPr>
      <w:r>
        <w:rPr/>
        <w:t xml:space="preserve">(2) $11,996,000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0" w:after="0" w:line="408" w:lineRule="exact"/>
        <w:ind w:left="0" w:right="0" w:firstLine="576"/>
        <w:jc w:val="left"/>
      </w:pPr>
      <w:r>
        <w:rPr/>
        <w:t xml:space="preserve">(3) If the bill referenced in subsection (2) of this section is not enacted by July 31, 2017, the amount provided in subsection (2)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$12,286,000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$36,600,000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$11,400,000 is provided solely for crisis diversion or stabilization facilities that are not subject to federal funding restrictions that apply to institutions of mental diseases. At least two of the facilities must be located in King county and one must be located within a five-mile radius of the junction of Interstate 5 and state route 512 and in connection with the crisis diversion/stabilization facility currently being planned by the Pierce county government;</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p>
    <w:p>
      <w:pPr>
        <w:spacing w:before="0" w:after="0" w:line="408" w:lineRule="exact"/>
        <w:ind w:left="0" w:right="0" w:firstLine="576"/>
        <w:jc w:val="left"/>
      </w:pPr>
      <w:r>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t xml:space="preserve">(C) Is located in a rural community as defined by the board, or a rural county; or</w:t>
      </w:r>
    </w:p>
    <w:p>
      <w:pPr>
        <w:spacing w:before="0" w:after="0" w:line="408" w:lineRule="exact"/>
        <w:ind w:left="0" w:right="0" w:firstLine="576"/>
        <w:jc w:val="left"/>
      </w:pPr>
      <w:r>
        <w:rPr/>
        <w:t xml:space="preserve">(ii) For a project that does not meet the requirements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1077, chapter 19, Laws of 2013 2nd sp. sess.</w:t>
      </w:r>
    </w:p>
    <w:p>
      <w:pPr>
        <w:spacing w:before="0" w:after="0" w:line="408" w:lineRule="exact"/>
        <w:ind w:left="0" w:right="0" w:firstLine="576"/>
        <w:jc w:val="left"/>
      </w:pPr>
      <w:r>
        <w:rPr>
          <w:u w:val="single"/>
        </w:rPr>
        <w:t xml:space="preserve">(2) $1,500,000 of the reappropriation is provided solely for the basin 3 sewer rehabilitation project rather than the city of Shelton wastewater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Adaptive Reuse Study (91001154)</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an adaptive reuse study for the Seattle vocational institute building and property located at 2120 south Jackson street. The study must quantify the costs of repair and improvements for the various potential uses and analyze financing under different ownership scenarios. The evaluation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tabs>
          <w:tab w:val="right" w:leader="dot" w:pos="9936"/>
        </w:tabs>
        <w:ind w:left="0" w:right="0" w:firstLine="1440"/>
      </w:pPr>
      <w:r>
        <w:rPr/>
        <w:t xml:space="preserve">Subtotal Appropriation</w:t>
      </w:r>
      <w:r>
        <w:tab/>
      </w:r>
      <w:r>
        <w:rPr/>
        <w:t xml:space="preserve">$1,222,000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1048</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1077, chapter 3, Laws of 2015 3rd sp. sess.</w:t>
      </w:r>
    </w:p>
    <w:p>
      <w:pPr>
        <w:spacing w:before="0" w:after="0" w:line="408" w:lineRule="exact"/>
        <w:ind w:left="0" w:right="0" w:firstLine="576"/>
        <w:jc w:val="left"/>
      </w:pPr>
      <w:r>
        <w:rPr>
          <w:u w:val="single"/>
        </w:rPr>
        <w:t xml:space="preserve">(2) The Carver academic renovation project, funded in section 5048, chapter 3, Laws of 2015 3rd sp. sess., is an eligible construction project pursuant to subsection (1) of this 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Contingency Pool (91000436)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parks projects that are reduced. The state parks and recreation commission must provide sufficient evidence that a project cannot move forward without additional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December 10,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September 1,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 Parks Capital Projects Study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office of financial management, in consultation with the state parks and recreation commission, shall develop a study of the commission's capital budget process. The study shall be contracted to an independent third-party consultant with expertise in the state capital budget development process, capital project cost estimating, value engineering, and related professional fields. The study must be provided to the fiscal committees of the legislature by September 1, 2018. The purpose of the study is to evaluate commission practices in comparison with best practices in public sector capital program design and execution.</w:t>
      </w:r>
    </w:p>
    <w:p>
      <w:pPr>
        <w:spacing w:before="0" w:after="0" w:line="408" w:lineRule="exact"/>
        <w:ind w:left="0" w:right="0" w:firstLine="576"/>
        <w:jc w:val="left"/>
      </w:pPr>
      <w:r>
        <w:rPr/>
        <w:t xml:space="preserve">The study must include an assessment of:</w:t>
      </w:r>
    </w:p>
    <w:p>
      <w:pPr>
        <w:spacing w:before="0" w:after="0" w:line="408" w:lineRule="exact"/>
        <w:ind w:left="0" w:right="0" w:firstLine="576"/>
        <w:jc w:val="left"/>
      </w:pPr>
      <w:r>
        <w:rPr/>
        <w:t xml:space="preserve">(1) The commission's capital budget development process for its 2019-2021 biennial budget and ten-year capital plan, including analysis of:</w:t>
      </w:r>
    </w:p>
    <w:p>
      <w:pPr>
        <w:spacing w:before="0" w:after="0" w:line="408" w:lineRule="exact"/>
        <w:ind w:left="0" w:right="0" w:firstLine="576"/>
        <w:jc w:val="left"/>
      </w:pPr>
      <w:r>
        <w:rPr/>
        <w:t xml:space="preserve">(a) Project identification and scoping processes;</w:t>
      </w:r>
    </w:p>
    <w:p>
      <w:pPr>
        <w:spacing w:before="0" w:after="0" w:line="408" w:lineRule="exact"/>
        <w:ind w:left="0" w:right="0" w:firstLine="576"/>
        <w:jc w:val="left"/>
      </w:pPr>
      <w:r>
        <w:rPr/>
        <w:t xml:space="preserve">(b) Project cost estimation methods and tools; and</w:t>
      </w:r>
    </w:p>
    <w:p>
      <w:pPr>
        <w:spacing w:before="0" w:after="0" w:line="408" w:lineRule="exact"/>
        <w:ind w:left="0" w:right="0" w:firstLine="576"/>
        <w:jc w:val="left"/>
      </w:pPr>
      <w:r>
        <w:rPr/>
        <w:t xml:space="preserve">(c) Project prioritization criteria and methods.</w:t>
      </w:r>
    </w:p>
    <w:p>
      <w:pPr>
        <w:spacing w:before="0" w:after="0" w:line="408" w:lineRule="exact"/>
        <w:ind w:left="0" w:right="0" w:firstLine="576"/>
        <w:jc w:val="left"/>
      </w:pPr>
      <w:r>
        <w:rPr/>
        <w:t xml:space="preserve">(2) State parks capital budget staffing compared to other public and private industry standards, including the percent of project funding that is used for staff FTEs and the number and function of:</w:t>
      </w:r>
    </w:p>
    <w:p>
      <w:pPr>
        <w:spacing w:before="0" w:after="0" w:line="408" w:lineRule="exact"/>
        <w:ind w:left="0" w:right="0" w:firstLine="576"/>
        <w:jc w:val="left"/>
      </w:pPr>
      <w:r>
        <w:rPr/>
        <w:t xml:space="preserve">(a) Design professionals (including engineers and landscape architects);</w:t>
      </w:r>
    </w:p>
    <w:p>
      <w:pPr>
        <w:spacing w:before="0" w:after="0" w:line="408" w:lineRule="exact"/>
        <w:ind w:left="0" w:right="0" w:firstLine="576"/>
        <w:jc w:val="left"/>
      </w:pPr>
      <w:r>
        <w:rPr/>
        <w:t xml:space="preserve">(b) Construction and Design project managers; and</w:t>
      </w:r>
    </w:p>
    <w:p>
      <w:pPr>
        <w:spacing w:before="0" w:after="0" w:line="408" w:lineRule="exact"/>
        <w:ind w:left="0" w:right="0" w:firstLine="576"/>
        <w:jc w:val="left"/>
      </w:pPr>
      <w:r>
        <w:rPr/>
        <w:t xml:space="preserve">(c) Other staff supported by capital funds.</w:t>
      </w:r>
    </w:p>
    <w:p>
      <w:pPr>
        <w:spacing w:before="0" w:after="0" w:line="408" w:lineRule="exact"/>
        <w:ind w:left="0" w:right="0" w:firstLine="576"/>
        <w:jc w:val="left"/>
      </w:pPr>
      <w:r>
        <w:rPr/>
        <w:t xml:space="preserve">(3) Historical capital project funding including, at a minimum:</w:t>
      </w:r>
    </w:p>
    <w:p>
      <w:pPr>
        <w:spacing w:before="0" w:after="0" w:line="408" w:lineRule="exact"/>
        <w:ind w:left="0" w:right="0" w:firstLine="576"/>
        <w:jc w:val="left"/>
      </w:pPr>
      <w:r>
        <w:rPr/>
        <w:t xml:space="preserve">(a) 2013-2015 and 2015-2017 capital budgets and expenditures;</w:t>
      </w:r>
    </w:p>
    <w:p>
      <w:pPr>
        <w:spacing w:before="0" w:after="0" w:line="408" w:lineRule="exact"/>
        <w:ind w:left="0" w:right="0" w:firstLine="576"/>
        <w:jc w:val="left"/>
      </w:pPr>
      <w:r>
        <w:rPr/>
        <w:t xml:space="preserve">(b) An analysis of actual project costs in comparison to budgeted costs including the percentage that projects were over and under the construction cost estimate and the total project cost estimate, both individually and in aggregate; and</w:t>
      </w:r>
    </w:p>
    <w:p>
      <w:pPr>
        <w:spacing w:before="0" w:after="0" w:line="408" w:lineRule="exact"/>
        <w:ind w:left="0" w:right="0" w:firstLine="576"/>
        <w:jc w:val="left"/>
      </w:pPr>
      <w:r>
        <w:rPr/>
        <w:t xml:space="preserve">(c) Percentage of reappropriations.</w:t>
      </w:r>
    </w:p>
    <w:p>
      <w:pPr>
        <w:spacing w:before="0" w:after="0" w:line="408" w:lineRule="exact"/>
        <w:ind w:left="0" w:right="0" w:firstLine="576"/>
        <w:jc w:val="left"/>
      </w:pPr>
      <w:r>
        <w:rPr/>
        <w:t xml:space="preserve">(4) The basis for cabin and comfort station project costs to include:</w:t>
      </w:r>
    </w:p>
    <w:p>
      <w:pPr>
        <w:spacing w:before="0" w:after="0" w:line="408" w:lineRule="exact"/>
        <w:ind w:left="0" w:right="0" w:firstLine="576"/>
        <w:jc w:val="left"/>
      </w:pPr>
      <w:r>
        <w:rPr/>
        <w:t xml:space="preserve">(a) Project objectives and customer requirements;</w:t>
      </w:r>
    </w:p>
    <w:p>
      <w:pPr>
        <w:spacing w:before="0" w:after="0" w:line="408" w:lineRule="exact"/>
        <w:ind w:left="0" w:right="0" w:firstLine="576"/>
        <w:jc w:val="left"/>
      </w:pPr>
      <w:r>
        <w:rPr/>
        <w:t xml:space="preserve">(b) Project elements (scale, materials, utilities, location, aesthetics, and other considerations significantly affecting project costs); and</w:t>
      </w:r>
    </w:p>
    <w:p>
      <w:pPr>
        <w:spacing w:before="0" w:after="0" w:line="408" w:lineRule="exact"/>
        <w:ind w:left="0" w:right="0" w:firstLine="576"/>
        <w:jc w:val="left"/>
      </w:pPr>
      <w:r>
        <w:rPr/>
        <w:t xml:space="preserve">(c) Operational fiscal analysis including projected operating costs and revenue from cabins; and</w:t>
      </w:r>
    </w:p>
    <w:p>
      <w:pPr>
        <w:spacing w:before="0" w:after="0" w:line="408" w:lineRule="exact"/>
        <w:ind w:left="0" w:right="0" w:firstLine="576"/>
        <w:jc w:val="left"/>
      </w:pPr>
      <w:r>
        <w:rPr/>
        <w:t xml:space="preserve">(d) Detailed cost estimates of previous and future cabin and comfort station projects.</w:t>
      </w:r>
    </w:p>
    <w:p>
      <w:pPr>
        <w:spacing w:before="0" w:after="0" w:line="408" w:lineRule="exact"/>
        <w:ind w:left="0" w:right="0" w:firstLine="576"/>
        <w:jc w:val="left"/>
      </w:pPr>
      <w:r>
        <w:rPr/>
        <w:t xml:space="preserve">(5) Costs compared to at least two other states with similar state parks and two other Washington state or local governments.</w:t>
      </w:r>
    </w:p>
    <w:p>
      <w:pPr>
        <w:spacing w:before="0" w:after="0" w:line="408" w:lineRule="exact"/>
        <w:ind w:left="0" w:right="0" w:firstLine="576"/>
        <w:jc w:val="left"/>
      </w:pPr>
      <w:r>
        <w:rPr/>
        <w:t xml:space="preserve">(6) An analysis of development costs associated with state park projects that differ from other public works projects and commercial private sector projects.</w:t>
      </w:r>
    </w:p>
    <w:p>
      <w:pPr>
        <w:spacing w:before="0" w:after="0" w:line="408" w:lineRule="exact"/>
        <w:ind w:left="0" w:right="0" w:firstLine="576"/>
        <w:jc w:val="left"/>
      </w:pPr>
      <w:r>
        <w:rPr/>
        <w:t xml:space="preserve">(7) Alternative procurement options for cabins, including premanufactured cabins, cabin kits, tiny homes, and modular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and State Facility Financing Study (92000021)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financial management shall submit a higher education capital facility study to the governor and the appropriate legislative fiscal committees by October 1, 2018. In designing and conducting the study, the office of financial management shall consult with legislative and fiscal committee leadership, the department of revenue, the state investment board, the student achievement council, the state board for community and technical colleges, and the public four-year institutions of higher education. The study must include:</w:t>
      </w:r>
    </w:p>
    <w:p>
      <w:pPr>
        <w:spacing w:before="0" w:after="0" w:line="408" w:lineRule="exact"/>
        <w:ind w:left="0" w:right="0" w:firstLine="576"/>
        <w:jc w:val="left"/>
      </w:pPr>
      <w:r>
        <w:rPr/>
        <w:t xml:space="preserve">(a) A review of the methods that are used to fund higher education facility expansion and improvements in other states and the relative portions of such expenditures that are borne by students, state taxpayers, federal grants, and private contributions;</w:t>
      </w:r>
    </w:p>
    <w:p>
      <w:pPr>
        <w:spacing w:before="0" w:after="0" w:line="408" w:lineRule="exact"/>
        <w:ind w:left="0" w:right="0" w:firstLine="576"/>
        <w:jc w:val="left"/>
      </w:pPr>
      <w:r>
        <w:rPr/>
        <w:t xml:space="preserve">(b) An examination of alternatives for reducing facility construction and maintenance expenditures per student through strategies such as expansion of distance learning opportunities, increased scheduling of classes during evenings and weekends, the establishment of expected cost benchmarks by facility type, and other means;</w:t>
      </w:r>
    </w:p>
    <w:p>
      <w:pPr>
        <w:spacing w:before="0" w:after="0" w:line="408" w:lineRule="exact"/>
        <w:ind w:left="0" w:right="0" w:firstLine="576"/>
        <w:jc w:val="left"/>
      </w:pPr>
      <w:r>
        <w:rPr/>
        <w:t xml:space="preserve">(c) An assessment of the strengths and weaknesses of potential new revenue sources that might be applied to the funding of higher education facilities. These alternative sources must include, but not be limited to, adjusting student fees to support a larger share of the cost of such facilities, bonding against student fee revenues, utilizing local tax revenues to support local higher education capital needs, promoting business participation in the financing of programs strongly linked to area economic development, and other means;</w:t>
      </w:r>
    </w:p>
    <w:p>
      <w:pPr>
        <w:spacing w:before="0" w:after="0" w:line="408" w:lineRule="exact"/>
        <w:ind w:left="0" w:right="0" w:firstLine="576"/>
        <w:jc w:val="left"/>
      </w:pPr>
      <w:r>
        <w:rPr/>
        <w:t xml:space="preserve">(d) Learning space utilization standards for higher education facilities. The standards may include, but are not limited to:</w:t>
      </w:r>
    </w:p>
    <w:p>
      <w:pPr>
        <w:spacing w:before="0" w:after="0" w:line="408" w:lineRule="exact"/>
        <w:ind w:left="0" w:right="0" w:firstLine="576"/>
        <w:jc w:val="left"/>
      </w:pPr>
      <w:r>
        <w:rPr/>
        <w:t xml:space="preserve">(i) Percentage of hours utilized per scheduling window;</w:t>
      </w:r>
    </w:p>
    <w:p>
      <w:pPr>
        <w:spacing w:before="0" w:after="0" w:line="408" w:lineRule="exact"/>
        <w:ind w:left="0" w:right="0" w:firstLine="576"/>
        <w:jc w:val="left"/>
      </w:pPr>
      <w:r>
        <w:rPr/>
        <w:t xml:space="preserve">(ii) Percentage of seats utilized;</w:t>
      </w:r>
    </w:p>
    <w:p>
      <w:pPr>
        <w:spacing w:before="0" w:after="0" w:line="408" w:lineRule="exact"/>
        <w:ind w:left="0" w:right="0" w:firstLine="576"/>
        <w:jc w:val="left"/>
      </w:pPr>
      <w:r>
        <w:rPr/>
        <w:t xml:space="preserve">(iii) Square feet per seat; and</w:t>
      </w:r>
    </w:p>
    <w:p>
      <w:pPr>
        <w:spacing w:before="0" w:after="0" w:line="408" w:lineRule="exact"/>
        <w:ind w:left="0" w:right="0" w:firstLine="576"/>
        <w:jc w:val="left"/>
      </w:pPr>
      <w:r>
        <w:rPr/>
        <w:t xml:space="preserve">(iv) Type of technology utilized in learning spaces;</w:t>
      </w:r>
    </w:p>
    <w:p>
      <w:pPr>
        <w:spacing w:before="0" w:after="0" w:line="408" w:lineRule="exact"/>
        <w:ind w:left="0" w:right="0" w:firstLine="576"/>
        <w:jc w:val="left"/>
      </w:pPr>
      <w:r>
        <w:rPr/>
        <w:t xml:space="preserve">(e) Reasonableness of cost standards for higher education capital facilities. The standards may include, but are not limited to:</w:t>
      </w:r>
    </w:p>
    <w:p>
      <w:pPr>
        <w:spacing w:before="0" w:after="0" w:line="408" w:lineRule="exact"/>
        <w:ind w:left="0" w:right="0" w:firstLine="576"/>
        <w:jc w:val="left"/>
      </w:pPr>
      <w:r>
        <w:rPr/>
        <w:t xml:space="preserve">(i) Costs per square feet per type of facility; and</w:t>
      </w:r>
    </w:p>
    <w:p>
      <w:pPr>
        <w:spacing w:before="0" w:after="0" w:line="408" w:lineRule="exact"/>
        <w:ind w:left="0" w:right="0" w:firstLine="576"/>
        <w:jc w:val="left"/>
      </w:pPr>
      <w:r>
        <w:rPr/>
        <w:t xml:space="preserve">(ii) Expected life-cycle costs; and</w:t>
      </w:r>
    </w:p>
    <w:p>
      <w:pPr>
        <w:spacing w:before="0" w:after="0" w:line="408" w:lineRule="exact"/>
        <w:ind w:left="0" w:right="0" w:firstLine="576"/>
        <w:jc w:val="left"/>
      </w:pPr>
      <w:r>
        <w:rPr/>
        <w:t xml:space="preserve">(f) A criteria scoring and weighting tool for use by four-year higher education institutions and other decision makers that measures two components:</w:t>
      </w:r>
    </w:p>
    <w:p>
      <w:pPr>
        <w:spacing w:before="0" w:after="0" w:line="408" w:lineRule="exact"/>
        <w:ind w:left="0" w:right="0" w:firstLine="576"/>
        <w:jc w:val="left"/>
      </w:pPr>
      <w:r>
        <w:rPr/>
        <w:t xml:space="preserve">(i) A measure of achievement of higher education capital projects criteria; and</w:t>
      </w:r>
    </w:p>
    <w:p>
      <w:pPr>
        <w:spacing w:before="0" w:after="0" w:line="408" w:lineRule="exact"/>
        <w:ind w:left="0" w:right="0" w:firstLine="576"/>
        <w:jc w:val="left"/>
      </w:pPr>
      <w:r>
        <w:rPr/>
        <w:t xml:space="preserve">(ii) A measure to weigh the importance of those criteria.</w:t>
      </w:r>
    </w:p>
    <w:p>
      <w:pPr>
        <w:spacing w:before="0" w:after="0" w:line="408" w:lineRule="exact"/>
        <w:ind w:left="0" w:right="0" w:firstLine="576"/>
        <w:jc w:val="left"/>
      </w:pPr>
      <w:r>
        <w:rPr/>
        <w:t xml:space="preserve">(2) The office of financial management shall submit a state capital facility financing study to the governor and the appropriate legislative fiscal committees by December 1, 2018. In designing and conducting the study, the office of financial management shall consult with legislative and fiscal committee leadership. The study must include the establishment of expected cost benchmarks by facility type.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$2,664,000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rPr/>
        <w:t xml:space="preserve">$3,058,000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$3,364,000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rPr/>
        <w:t xml:space="preserve">$12,900,000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$2,414,000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report must evaluate, at a minimum, the following criteria: (1) A minimum of two locations on the capitol campus or Heritage Park; (2) a survey of employees on the capitol campus to determine the need and capacity; (3) the necessary rate to support operations, maintenance, and debt service; (4) the existing child care capacity within a five mile radius of the capitol campus; and (5) a description of a public private partnership and the competitive process used to select the contractor to operate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$3,556,000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Major Renovation (30000818)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$2,375,000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$11,537,000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ind w:left="0" w:right="0" w:firstLine="576"/>
        <w:jc w:val="left"/>
        <w:tabs>
          <w:tab w:val="right" w:leader="dot" w:pos="9936"/>
        </w:tabs>
      </w:pPr>
      <w:r>
        <w:rPr/>
        <w:t xml:space="preserve">Prior Biennia (Expenditures)</w:t>
      </w:r>
      <w:r>
        <w:tab/>
      </w:r>
      <w:r>
        <w:rPr/>
        <w:t xml:space="preserve">$3,280,000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strike/>
        </w:rPr>
        <w:t xml:space="preserve">(2)</w:t>
      </w:r>
      <w:r>
        <w:t>))</w:t>
      </w:r>
      <w:r>
        <w:rPr/>
        <w:t xml:space="preserve">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t>((</w:t>
      </w:r>
      <w:r>
        <w:rPr>
          <w:strike/>
        </w:rPr>
        <w:t xml:space="preserve">(3) The department shall submit an updated project proposal by October 15, 2017 and return any excess funds.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$183,510,000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drinking water funds. $10,000,000 of the appropriation must be transferred into the drinking water assistance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alloted.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$15,833,000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$2,551,000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$1,790,000</w:t>
      </w:r>
    </w:p>
    <w:p>
      <w:pPr>
        <w:tabs>
          <w:tab w:val="right" w:leader="dot" w:pos="9936"/>
        </w:tabs>
        <w:ind w:left="0" w:right="0" w:firstLine="1440"/>
      </w:pPr>
      <w:r>
        <w:rPr/>
        <w:t xml:space="preserve">Subtotal Appropriation</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 3rd sp.s. c 4 ss 3043 and 3059</w:t>
      </w:r>
      <w:r>
        <w:rPr/>
        <w:t xml:space="preserve"> (uncodified) are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$25,476,000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 in this section is subject to the following conditions and limitations: The terms of any land acquisition contract executed pursuant to this section must include requirements, such as covenants or easements, that the land be managed in a manner that provides for long-term sustainable timber growth and harvest on the property. Use of the property must prioritize forest practices that provide for sufficient feedstock timber to any sawmills adjacent to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irrigation district.</w:t>
      </w:r>
    </w:p>
    <w:p>
      <w:pPr>
        <w:spacing w:before="0" w:after="0" w:line="408" w:lineRule="exact"/>
        <w:ind w:left="0" w:right="0" w:firstLine="576"/>
        <w:jc w:val="left"/>
      </w:pPr>
      <w:r>
        <w:rPr/>
        <w:t xml:space="preserve">(2) $5,000,000 of the appropriations are provided solely for a forty-seven and one-half mile pipeline for full capacity. Funds must be prioritized to constructing the distribution system to a capacity serving no less than eleven thousand acres.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clean water funds. $10,000,000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(i) The department of transportation's electric vehicle infrastructure bank program;</w:t>
      </w:r>
    </w:p>
    <w:p>
      <w:pPr>
        <w:spacing w:before="0" w:after="0" w:line="408" w:lineRule="exact"/>
        <w:ind w:left="0" w:right="0" w:firstLine="576"/>
        <w:jc w:val="left"/>
      </w:pPr>
      <w:r>
        <w:rPr/>
        <w:t xml:space="preserve">(ii) The state alternative fuel commercial vehicle tax credit;</w:t>
      </w:r>
    </w:p>
    <w:p>
      <w:pPr>
        <w:spacing w:before="0" w:after="0" w:line="408" w:lineRule="exact"/>
        <w:ind w:left="0" w:right="0" w:firstLine="576"/>
        <w:jc w:val="left"/>
      </w:pPr>
      <w:r>
        <w:rPr/>
        <w:t xml:space="preserve">(iii) The state sales and use tax exemption for clean vehicles; and</w:t>
      </w:r>
    </w:p>
    <w:p>
      <w:pPr>
        <w:spacing w:before="0" w:after="0" w:line="408" w:lineRule="exact"/>
        <w:ind w:left="0" w:right="0" w:firstLine="576"/>
        <w:jc w:val="left"/>
      </w:pPr>
      <w:r>
        <w:rPr/>
        <w:t xml:space="preserve">(iv) Public transportation grant programs administered by the department of transportation.</w:t>
      </w:r>
    </w:p>
    <w:p>
      <w:pPr>
        <w:spacing w:before="0" w:after="0" w:line="408" w:lineRule="exact"/>
        <w:ind w:left="0" w:right="0" w:firstLine="576"/>
        <w:jc w:val="left"/>
      </w:pPr>
      <w:r>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The mitigation plan and the stewardship of project implementation must adhere to the following principles:</w:t>
      </w:r>
    </w:p>
    <w:p>
      <w:pPr>
        <w:spacing w:before="0" w:after="0" w:line="408" w:lineRule="exact"/>
        <w:ind w:left="0" w:right="0" w:firstLine="576"/>
        <w:jc w:val="left"/>
      </w:pPr>
      <w:r>
        <w:rPr/>
        <w:t xml:space="preserve">(a) Maximize air quality and public health benefits relating to the reduction of nitrogen oxides emissions;</w:t>
      </w:r>
    </w:p>
    <w:p>
      <w:pPr>
        <w:spacing w:before="0" w:after="0" w:line="408" w:lineRule="exact"/>
        <w:ind w:left="0" w:right="0" w:firstLine="576"/>
        <w:jc w:val="left"/>
      </w:pPr>
      <w:r>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t xml:space="preserve">(e) Consideration must be given to investments across a range of fueling technologies and emissions reduction technologies; and</w:t>
      </w:r>
    </w:p>
    <w:p>
      <w:pPr>
        <w:spacing w:before="0" w:after="0" w:line="408" w:lineRule="exact"/>
        <w:ind w:left="0" w:right="0" w:firstLine="576"/>
        <w:jc w:val="left"/>
      </w:pPr>
      <w:r>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(4)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t xml:space="preserve">(iv) No more than twenty percent of funding provided during the 2017-2019 biennium for airport ground support equipment;</w:t>
      </w:r>
    </w:p>
    <w:p>
      <w:pPr>
        <w:spacing w:before="0" w:after="0" w:line="408" w:lineRule="exact"/>
        <w:ind w:left="0" w:right="0" w:firstLine="576"/>
        <w:jc w:val="left"/>
      </w:pPr>
      <w:r>
        <w:rPr/>
        <w:t xml:space="preserve">(v) No more than twenty percent of funding provided during the 2017-2019 biennium for ocean-going vessels' shore power;</w:t>
      </w:r>
    </w:p>
    <w:p>
      <w:pPr>
        <w:spacing w:before="0" w:after="0" w:line="408" w:lineRule="exact"/>
        <w:ind w:left="0" w:right="0" w:firstLine="576"/>
        <w:jc w:val="left"/>
      </w:pPr>
      <w:r>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watershed restoration and enhancement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$11,528,000</w:t>
      </w:r>
    </w:p>
    <w:p>
      <w:pPr>
        <w:tabs>
          <w:tab w:val="right" w:leader="dot" w:pos="9936"/>
        </w:tabs>
        <w:ind w:left="0" w:right="0" w:firstLine="1440"/>
      </w:pPr>
      <w:r>
        <w:rPr/>
        <w:t xml:space="preserve">Subtotal Reappropriation</w:t>
      </w:r>
      <w:r>
        <w:tab/>
      </w:r>
      <w:r>
        <w:rPr/>
        <w:t xml:space="preserve">$30,053,000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$5,538,000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$2,204,000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$9,769,000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number 2017-42, developed July 20, 2017, and LEAP capital document 2018-6H, developed January 3,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2017-4H,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2017-5H,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3120</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appropriation in this section is provided solely to purchase replacement properties for Blanchard mountain trust lands core-zone.</w:t>
      </w:r>
      <w:r>
        <w:t>))</w:t>
      </w:r>
    </w:p>
    <w:p>
      <w:pPr>
        <w:spacing w:before="0" w:after="0" w:line="408" w:lineRule="exact"/>
        <w:ind w:left="0" w:right="0" w:firstLine="576"/>
        <w:jc w:val="left"/>
      </w:pPr>
      <w:r>
        <w:rPr>
          <w:u w:val="single"/>
        </w:rPr>
        <w:t xml:space="preserve">(1) The reappropriations are subject to the provisions of section 3026, chapter 35, Laws of 2016 sp. sess.</w:t>
      </w:r>
    </w:p>
    <w:p>
      <w:pPr>
        <w:spacing w:before="0" w:after="0" w:line="408" w:lineRule="exact"/>
        <w:ind w:left="0" w:right="0" w:firstLine="576"/>
        <w:jc w:val="left"/>
      </w:pPr>
      <w:r>
        <w:rPr>
          <w:u w:val="single"/>
        </w:rPr>
        <w:t xml:space="preserve">(2) A maximum of $1,100,000 of unused funds in this reappropriation may be used for the willows road regional trail connect, without requiring matching resources.</w:t>
      </w:r>
    </w:p>
    <w:p>
      <w:pPr>
        <w:spacing w:before="0" w:after="0" w:line="408" w:lineRule="exact"/>
        <w:ind w:left="0" w:right="0" w:firstLine="576"/>
        <w:jc w:val="left"/>
      </w:pPr>
      <w:r>
        <w:rPr>
          <w:u w:val="single"/>
        </w:rPr>
        <w:t xml:space="preserve">(3) A maximum of $500,000 of unused funds in this reappropriation may be used for the Wilburton trestle section of the eastside rail corridor, without requiring matching resources.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$18,328,000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commission to make competitive grants available for dairy nutrient projects assisting dairy owners to address impacts to soil, water, or air. The purpose of the funding is to test the technologies that can solve the potential environmental problems associated with the disposal of manure that is in excess of what can be effectively used in the growing of crops. The technology must:</w:t>
      </w:r>
    </w:p>
    <w:p>
      <w:pPr>
        <w:spacing w:before="0" w:after="0" w:line="408" w:lineRule="exact"/>
        <w:ind w:left="0" w:right="0" w:firstLine="576"/>
        <w:jc w:val="left"/>
      </w:pPr>
      <w:r>
        <w:rPr/>
        <w:t xml:space="preserve">(a) Pose no risk of pollution to soil, water, or air;</w:t>
      </w:r>
    </w:p>
    <w:p>
      <w:pPr>
        <w:spacing w:before="0" w:after="0" w:line="408" w:lineRule="exact"/>
        <w:ind w:left="0" w:right="0" w:firstLine="576"/>
        <w:jc w:val="left"/>
      </w:pPr>
      <w:r>
        <w:rPr/>
        <w:t xml:space="preserve">(b) Be cost effective; and</w:t>
      </w:r>
    </w:p>
    <w:p>
      <w:pPr>
        <w:spacing w:before="0" w:after="0" w:line="408" w:lineRule="exact"/>
        <w:ind w:left="0" w:right="0" w:firstLine="576"/>
        <w:jc w:val="left"/>
      </w:pPr>
      <w:r>
        <w:rPr/>
        <w:t xml:space="preserve">(c) Produce clean water that can be effectively used on dairy farms and/or solids which can either be marketed or disposed of without risk of the environment.</w:t>
      </w:r>
    </w:p>
    <w:p>
      <w:pPr>
        <w:spacing w:before="0" w:after="0" w:line="408" w:lineRule="exact"/>
        <w:ind w:left="0" w:right="0" w:firstLine="576"/>
        <w:jc w:val="left"/>
      </w:pPr>
      <w:r>
        <w:rPr/>
        <w:t xml:space="preserve">(2) The grants must fund at least one dairy nutrient management innovation project east of the crest of the Cascade mountains and one west of the crest of the Cascade mountains. The commission shall report about the challenges and opportunities of the granted projects to the appropriate committees of the legislature at the conclusion of the last project or at least by December 1, 2020. The report should cover the acquisition, maintenance, and operating costs for the technology; how costs can be mitigated by any marketable byproducts, such as nitrogen, phosphorous, electricity, etc.; the cost of processing remaining materials to avoid contamination of soil, water, or air; and the ability to adapt the equipment for various size of dairies.</w:t>
      </w:r>
    </w:p>
    <w:p>
      <w:pPr>
        <w:spacing w:before="0" w:after="0" w:line="408" w:lineRule="exact"/>
        <w:ind w:left="0" w:right="0" w:firstLine="576"/>
        <w:jc w:val="left"/>
      </w:pPr>
      <w:r>
        <w:rPr/>
        <w:t xml:space="preserve">(3) When providing funding for specific technologies, the commission shall enter into appropriate agreements to support the state's interest in advancing innovation solutions to environmental issues while ensuring compliance with Article VIII, section 5 and Article XII, section 9 of the state Constitution.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$3,752,000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2017 3rd sp.s. c 4 s 3134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$4,547,000</w:t>
      </w:r>
    </w:p>
    <w:p>
      <w:pPr>
        <w:tabs>
          <w:tab w:val="right" w:leader="dot" w:pos="9936"/>
        </w:tabs>
        <w:ind w:left="0" w:right="0" w:firstLine="1440"/>
      </w:pPr>
      <w:r>
        <w:rPr/>
        <w:t xml:space="preserve">TOTAL</w:t>
      </w:r>
      <w:r>
        <w:tab/>
      </w:r>
      <w:r>
        <w:rPr/>
        <w:t xml:space="preserve">$4,897,000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$16,084,000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$430,176,000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2017-19 (92000048)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2018.</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$10,300,000 is provided solely to: Reduce hazards to public safety; establish new firewise communities; implement forest health treatments, prioritized pursuant to chapter 76.06 RCW as amended in chapter 95, Laws of 2017 and chapter 248, Laws of 2017, on state lands and state forestlands, high-risk private lands, and federal lands, including implementation of the "good neighbor" agreement signed with the United States forest service and "good neighbor" cross boundary competitive grants to forest collaboratives; and implement at least one controlled burning treatment project.</w:t>
      </w:r>
    </w:p>
    <w:p>
      <w:pPr>
        <w:spacing w:before="0" w:after="0" w:line="408" w:lineRule="exact"/>
        <w:ind w:left="0" w:right="0" w:firstLine="576"/>
        <w:jc w:val="left"/>
      </w:pPr>
      <w:r>
        <w:rPr/>
        <w:t xml:space="preserve">(2) $1,000,000 is provided solely to administer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to include veterans, to provide forest health treatments that may include providing thinning, pruning, and brush disposal, and other firewise services; and</w:t>
      </w:r>
    </w:p>
    <w:p>
      <w:pPr>
        <w:spacing w:before="0" w:after="0" w:line="408" w:lineRule="exact"/>
        <w:ind w:left="0" w:right="0" w:firstLine="576"/>
        <w:jc w:val="left"/>
      </w:pPr>
      <w:r>
        <w:rPr/>
        <w:t xml:space="preserve">(b) The department must work in conjunction with communities, counties, fire districts, and conservation districts in implementing firewise activities.</w:t>
      </w:r>
    </w:p>
    <w:p>
      <w:pPr>
        <w:spacing w:before="0" w:after="0" w:line="408" w:lineRule="exact"/>
        <w:ind w:left="0" w:right="0" w:firstLine="576"/>
        <w:jc w:val="left"/>
      </w:pPr>
      <w:r>
        <w:rPr/>
        <w:t xml:space="preserve">(3) $250,000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(4) $1,000,000 is provided solely for state trust land reforestation in wildfire-damaged areas.</w:t>
      </w:r>
    </w:p>
    <w:p>
      <w:pPr>
        <w:spacing w:before="0" w:after="0" w:line="408" w:lineRule="exact"/>
        <w:ind w:left="0" w:right="0" w:firstLine="576"/>
        <w:jc w:val="left"/>
      </w:pPr>
      <w:r>
        <w:rPr/>
        <w:t xml:space="preserve">(5) $450,000 is provided solely for implementation of chapter 248, Laws of 2017 (prioritizing lands to receive forest health treatments).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$672,423,000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$255,581,000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$932,563,000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$6,069,419,000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w:t>
      </w:r>
    </w:p>
    <w:p>
      <w:pPr>
        <w:spacing w:before="0" w:after="0" w:line="408" w:lineRule="exact"/>
        <w:ind w:left="0" w:right="0" w:firstLine="576"/>
        <w:jc w:val="left"/>
      </w:pPr>
      <w:r>
        <w:rPr/>
        <w:t xml:space="preserve">(b) 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t xml:space="preserve">(c)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$11,198,000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$23,802,000 of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$19,586,000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0" w:after="0" w:line="408" w:lineRule="exact"/>
        <w:ind w:left="0" w:right="0" w:firstLine="576"/>
        <w:jc w:val="left"/>
      </w:pPr>
      <w:r>
        <w:rPr/>
        <w:t xml:space="preserve">(3) $500,000 of the appropriation in this section is provided solely for maintenance to improve the health and environment for students and staff at the Eckstein middle school in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$49,400,000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$33,915,000</w:t>
      </w:r>
    </w:p>
    <w:p>
      <w:pPr>
        <w:tabs>
          <w:tab w:val="right" w:leader="dot" w:pos="9936"/>
        </w:tabs>
        <w:ind w:left="0" w:right="0" w:firstLine="1440"/>
      </w:pPr>
      <w:r>
        <w:rPr/>
        <w:t xml:space="preserve">TOTAL</w:t>
      </w:r>
      <w:r>
        <w:tab/>
      </w:r>
      <w:r>
        <w:rPr/>
        <w:t xml:space="preserve">$41,415,000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Adventuress Centennial Restoration 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w:t>
      </w:r>
      <w:r>
        <w:tab/>
      </w:r>
      <w:r>
        <w:rPr/>
        <w:t xml:space="preserve">$193,000</w:t>
      </w:r>
    </w:p>
    <w:p>
      <w:pPr>
        <w:spacing w:before="0" w:after="0" w:line="408" w:lineRule="exact"/>
        <w:ind w:left="0" w:right="0" w:firstLine="0"/>
        <w:jc w:val="left"/>
        <w:tabs>
          <w:tab w:val="right" w:leader="dot" w:pos="9936"/>
        </w:tabs>
      </w:pPr>
      <w:r>
        <w:rPr/>
        <w:t xml:space="preserve">German American Bank Building Restoration</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$92,000</w:t>
      </w:r>
    </w:p>
    <w:p>
      <w:pPr>
        <w:spacing w:before="0" w:after="0" w:line="408" w:lineRule="exact"/>
        <w:ind w:left="0" w:right="0" w:firstLine="0"/>
        <w:jc w:val="left"/>
        <w:tabs>
          <w:tab w:val="right" w:leader="dot" w:pos="9936"/>
        </w:tabs>
      </w:pPr>
      <w:r>
        <w:rPr/>
        <w:t xml:space="preserve">Lighthouse No. 83 (Swiftsure) Rehabilitation</w:t>
      </w:r>
      <w:r>
        <w:tab/>
      </w:r>
      <w:r>
        <w:rPr/>
        <w:t xml:space="preserve">$299,000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$131,000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$750,000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$497,000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$750,000</w:t>
      </w:r>
    </w:p>
    <w:p>
      <w:pPr>
        <w:spacing w:before="0" w:after="0" w:line="408" w:lineRule="exact"/>
        <w:ind w:left="0" w:right="0" w:firstLine="0"/>
        <w:jc w:val="left"/>
        <w:tabs>
          <w:tab w:val="right" w:leader="dot" w:pos="9936"/>
        </w:tabs>
      </w:pPr>
      <w:r>
        <w:rPr/>
        <w:t xml:space="preserve">Yamasaki Courtyard Renewal Project</w:t>
      </w:r>
      <w:r>
        <w:tab/>
      </w:r>
      <w:r>
        <w:rPr/>
        <w:t xml:space="preserve">$30,000</w:t>
      </w:r>
    </w:p>
    <w:p>
      <w:pPr>
        <w:spacing w:before="0" w:after="0" w:line="408" w:lineRule="exact"/>
        <w:ind w:left="0" w:right="0" w:firstLine="0"/>
        <w:jc w:val="left"/>
        <w:tabs>
          <w:tab w:val="right" w:leader="dot" w:pos="9936"/>
        </w:tabs>
      </w:pPr>
      <w:r>
        <w:rPr/>
        <w:t xml:space="preserve">Longview Shay Pavilion Completion</w:t>
      </w:r>
      <w:r>
        <w:tab/>
      </w:r>
      <w:r>
        <w:rPr/>
        <w:t xml:space="preserve">$60,000</w:t>
      </w:r>
    </w:p>
    <w:p>
      <w:pPr>
        <w:spacing w:before="0" w:after="0" w:line="408" w:lineRule="exact"/>
        <w:ind w:left="0" w:right="0" w:firstLine="0"/>
        <w:jc w:val="left"/>
        <w:tabs>
          <w:tab w:val="right" w:leader="dot" w:pos="9936"/>
        </w:tabs>
      </w:pPr>
      <w:r>
        <w:rPr/>
        <w:t xml:space="preserve">5th Avenue Theatre Upgrade</w:t>
      </w:r>
      <w:r>
        <w:tab/>
      </w:r>
      <w:r>
        <w:rPr/>
        <w:t xml:space="preserve">$750,000</w:t>
      </w:r>
    </w:p>
    <w:p>
      <w:pPr>
        <w:spacing w:before="0" w:after="0" w:line="408" w:lineRule="exact"/>
        <w:ind w:left="0" w:right="0" w:firstLine="0"/>
        <w:jc w:val="left"/>
        <w:tabs>
          <w:tab w:val="right" w:leader="dot" w:pos="9936"/>
        </w:tabs>
      </w:pPr>
      <w:r>
        <w:rPr/>
        <w:t xml:space="preserve">Museum of Flight Roof Repair Project</w:t>
      </w:r>
      <w:r>
        <w:tab/>
      </w:r>
      <w:r>
        <w:rPr/>
        <w:t xml:space="preserve">$376,000</w:t>
      </w:r>
    </w:p>
    <w:p>
      <w:pPr>
        <w:spacing w:before="0" w:after="0" w:line="408" w:lineRule="exact"/>
        <w:ind w:left="0" w:right="0" w:firstLine="0"/>
        <w:jc w:val="left"/>
        <w:tabs>
          <w:tab w:val="right" w:leader="dot" w:pos="9936"/>
        </w:tabs>
      </w:pPr>
      <w:r>
        <w:rPr/>
        <w:t xml:space="preserve">Tumwater Old Brewhouse Tower Rehabilitation</w:t>
      </w:r>
      <w:r>
        <w:tab/>
      </w:r>
      <w:r>
        <w:rPr/>
        <w:t xml:space="preserve">$507,000</w:t>
      </w:r>
    </w:p>
    <w:p>
      <w:pPr>
        <w:spacing w:before="0" w:after="0" w:line="408" w:lineRule="exact"/>
        <w:ind w:left="0" w:right="0" w:firstLine="0"/>
        <w:jc w:val="left"/>
        <w:tabs>
          <w:tab w:val="right" w:leader="dot" w:pos="9936"/>
        </w:tabs>
      </w:pPr>
      <w:r>
        <w:rPr/>
        <w:t xml:space="preserve">Historic Purse Seiner Shenandoah Restoration.</w:t>
      </w:r>
      <w:r>
        <w:tab/>
      </w:r>
      <w:r>
        <w:rPr/>
        <w:t xml:space="preserve">$58,000</w:t>
      </w:r>
    </w:p>
    <w:p>
      <w:pPr>
        <w:spacing w:before="0" w:after="0" w:line="408" w:lineRule="exact"/>
        <w:ind w:left="0" w:right="0" w:firstLine="0"/>
        <w:jc w:val="left"/>
        <w:tabs>
          <w:tab w:val="right" w:leader="dot" w:pos="9936"/>
        </w:tabs>
      </w:pPr>
      <w:r>
        <w:rPr/>
        <w:t xml:space="preserve">The Quincy Valley Community Heritage Barn</w:t>
      </w:r>
      <w:r>
        <w:tab/>
      </w:r>
      <w:r>
        <w:rPr/>
        <w:t xml:space="preserve">$205,000</w:t>
      </w:r>
    </w:p>
    <w:p>
      <w:pPr>
        <w:spacing w:before="0" w:after="0" w:line="408" w:lineRule="exact"/>
        <w:ind w:left="0" w:right="0" w:firstLine="0"/>
        <w:jc w:val="left"/>
        <w:tabs>
          <w:tab w:val="right" w:leader="dot" w:pos="9936"/>
        </w:tabs>
      </w:pPr>
      <w:r>
        <w:rPr/>
        <w:t xml:space="preserve">Georgetown Steam Plant Historic Concrete Restoration</w:t>
      </w:r>
      <w:r>
        <w:tab/>
      </w:r>
      <w:r>
        <w:rPr/>
        <w:t xml:space="preserve">$750,000</w:t>
      </w:r>
    </w:p>
    <w:p>
      <w:pPr>
        <w:spacing w:before="0" w:after="0" w:line="408" w:lineRule="exact"/>
        <w:ind w:left="0" w:right="0" w:firstLine="0"/>
        <w:jc w:val="left"/>
      </w:pPr>
      <w:r>
        <w:rPr/>
        <w:t xml:space="preserve">Pacific Northwest Railroad Archives Bldg Energy</w:t>
      </w:r>
    </w:p>
    <w:p>
      <w:pPr>
        <w:spacing w:before="0" w:after="0" w:line="408" w:lineRule="exact"/>
        <w:ind w:left="0" w:right="0" w:firstLine="576"/>
        <w:jc w:val="left"/>
        <w:tabs>
          <w:tab w:val="right" w:leader="dot" w:pos="9936"/>
        </w:tabs>
      </w:pPr>
      <w:r>
        <w:rPr/>
        <w:t xml:space="preserve">Efficiencies &amp; Security</w:t>
      </w:r>
      <w:r>
        <w:tab/>
      </w:r>
      <w:r>
        <w:rPr/>
        <w:t xml:space="preserve">$52,000</w:t>
      </w:r>
    </w:p>
    <w:p>
      <w:pPr>
        <w:spacing w:before="0" w:after="0" w:line="408" w:lineRule="exact"/>
        <w:ind w:left="0" w:right="0" w:firstLine="0"/>
        <w:jc w:val="left"/>
        <w:tabs>
          <w:tab w:val="right" w:leader="dot" w:pos="9936"/>
        </w:tabs>
      </w:pPr>
      <w:r>
        <w:rPr/>
        <w:t xml:space="preserve">Tollgate Farmhouse Rehabilitation</w:t>
      </w:r>
      <w:r>
        <w:tab/>
      </w:r>
      <w:r>
        <w:rPr/>
        <w:t xml:space="preserve">$279,000</w:t>
      </w:r>
    </w:p>
    <w:p>
      <w:pPr>
        <w:spacing w:before="0" w:after="0" w:line="408" w:lineRule="exact"/>
        <w:ind w:left="0" w:right="0" w:firstLine="0"/>
        <w:jc w:val="left"/>
        <w:tabs>
          <w:tab w:val="right" w:leader="dot" w:pos="9936"/>
        </w:tabs>
      </w:pPr>
      <w:r>
        <w:rPr/>
        <w:t xml:space="preserve">Illuminating the Balfour Dock Building</w:t>
      </w:r>
      <w:r>
        <w:tab/>
      </w:r>
      <w:r>
        <w:rPr/>
        <w:t xml:space="preserve">$560,000</w:t>
      </w:r>
    </w:p>
    <w:p>
      <w:pPr>
        <w:spacing w:before="0" w:after="0" w:line="408" w:lineRule="exact"/>
        <w:ind w:left="0" w:right="0" w:firstLine="0"/>
        <w:jc w:val="left"/>
      </w:pPr>
      <w:r>
        <w:rPr/>
        <w:t xml:space="preserve">Port Hadlock Heritage Campus - Growing Public Access</w:t>
      </w:r>
    </w:p>
    <w:p>
      <w:pPr>
        <w:spacing w:before="0" w:after="0" w:line="408" w:lineRule="exact"/>
        <w:ind w:left="0" w:right="0" w:firstLine="576"/>
        <w:jc w:val="left"/>
        <w:tabs>
          <w:tab w:val="right" w:leader="dot" w:pos="9936"/>
        </w:tabs>
      </w:pPr>
      <w:r>
        <w:rPr/>
        <w:t xml:space="preserve">to Traditional Boatbuilding Skills &amp; Education</w:t>
      </w:r>
      <w:r>
        <w:tab/>
      </w:r>
      <w:r>
        <w:rPr/>
        <w:t xml:space="preserve">$360,000</w:t>
      </w:r>
    </w:p>
    <w:p>
      <w:pPr>
        <w:spacing w:before="0" w:after="0" w:line="408" w:lineRule="exact"/>
        <w:ind w:left="0" w:right="0" w:firstLine="0"/>
        <w:jc w:val="left"/>
        <w:tabs>
          <w:tab w:val="right" w:leader="dot" w:pos="9936"/>
        </w:tabs>
      </w:pPr>
      <w:r>
        <w:rPr/>
        <w:t xml:space="preserve">The Old Hotel Art Gallery Renovation &amp; Upgrades</w:t>
      </w:r>
      <w:r>
        <w:tab/>
      </w:r>
      <w:r>
        <w:rPr/>
        <w:t xml:space="preserve">$56,000</w:t>
      </w:r>
    </w:p>
    <w:p>
      <w:pPr>
        <w:spacing w:before="0" w:after="0" w:line="408" w:lineRule="exact"/>
        <w:ind w:left="0" w:right="0" w:firstLine="0"/>
        <w:jc w:val="left"/>
        <w:tabs>
          <w:tab w:val="right" w:leader="dot" w:pos="9936"/>
        </w:tabs>
      </w:pPr>
      <w:r>
        <w:rPr/>
        <w:t xml:space="preserve">Kirkman House Museum</w:t>
      </w:r>
      <w:r>
        <w:tab/>
      </w:r>
      <w:r>
        <w:rPr/>
        <w:t xml:space="preserve">$90,000</w:t>
      </w:r>
    </w:p>
    <w:p>
      <w:pPr>
        <w:spacing w:before="0" w:after="0" w:line="408" w:lineRule="exact"/>
        <w:ind w:left="0" w:right="0" w:firstLine="0"/>
        <w:jc w:val="left"/>
      </w:pPr>
      <w:r>
        <w:rPr/>
        <w:t xml:space="preserve">Northwest Railway Museum - Restoring the Golden Age of</w:t>
      </w:r>
    </w:p>
    <w:p>
      <w:pPr>
        <w:spacing w:before="0" w:after="0" w:line="408" w:lineRule="exact"/>
        <w:ind w:left="0" w:right="0" w:firstLine="576"/>
        <w:jc w:val="left"/>
        <w:tabs>
          <w:tab w:val="right" w:leader="dot" w:pos="9936"/>
        </w:tabs>
      </w:pPr>
      <w:r>
        <w:rPr/>
        <w:t xml:space="preserve">Rail Travel.</w:t>
      </w:r>
      <w:r>
        <w:tab/>
      </w:r>
      <w:r>
        <w:rPr/>
        <w:t xml:space="preserve">$201,000</w:t>
      </w:r>
    </w:p>
    <w:p>
      <w:pPr>
        <w:spacing w:before="0" w:after="0" w:line="408" w:lineRule="exact"/>
        <w:ind w:left="0" w:right="0" w:firstLine="0"/>
        <w:jc w:val="left"/>
        <w:tabs>
          <w:tab w:val="right" w:leader="dot" w:pos="9936"/>
        </w:tabs>
      </w:pPr>
      <w:r>
        <w:rPr/>
        <w:t xml:space="preserve">Cornish Playhouse Theater Renovation</w:t>
      </w:r>
      <w:r>
        <w:tab/>
      </w:r>
      <w:r>
        <w:rPr/>
        <w:t xml:space="preserve">$354,000</w:t>
      </w:r>
    </w:p>
    <w:p>
      <w:pPr>
        <w:spacing w:before="0" w:after="0" w:line="408" w:lineRule="exact"/>
        <w:ind w:left="0" w:right="0" w:firstLine="0"/>
        <w:jc w:val="left"/>
      </w:pPr>
      <w:r>
        <w:rPr/>
        <w:t xml:space="preserve">Mount Baker Community Club Energy and Life</w:t>
      </w:r>
    </w:p>
    <w:p>
      <w:pPr>
        <w:spacing w:before="0" w:after="0" w:line="408" w:lineRule="exact"/>
        <w:ind w:left="0" w:right="0" w:firstLine="576"/>
        <w:jc w:val="left"/>
        <w:tabs>
          <w:tab w:val="right" w:leader="dot" w:pos="9936"/>
        </w:tabs>
      </w:pPr>
      <w:r>
        <w:rPr/>
        <w:t xml:space="preserve">Safety Improvements</w:t>
      </w:r>
      <w:r>
        <w:tab/>
      </w:r>
      <w:r>
        <w:rPr/>
        <w:t xml:space="preserve">$141,000</w:t>
      </w:r>
    </w:p>
    <w:p>
      <w:pPr>
        <w:spacing w:before="0" w:after="0" w:line="408" w:lineRule="exact"/>
        <w:ind w:left="0" w:right="0" w:firstLine="0"/>
        <w:jc w:val="left"/>
        <w:tabs>
          <w:tab w:val="right" w:leader="dot" w:pos="9936"/>
        </w:tabs>
      </w:pPr>
      <w:r>
        <w:rPr/>
        <w:t xml:space="preserve">Hubble House Restoration</w:t>
      </w:r>
      <w:r>
        <w:tab/>
      </w:r>
      <w:r>
        <w:rPr/>
        <w:t xml:space="preserve">$41,000</w:t>
      </w:r>
    </w:p>
    <w:p>
      <w:pPr>
        <w:spacing w:before="0" w:after="0" w:line="408" w:lineRule="exact"/>
        <w:ind w:left="0" w:right="0" w:firstLine="0"/>
        <w:jc w:val="left"/>
      </w:pPr>
      <w:r>
        <w:rPr/>
        <w:t xml:space="preserve">Nikkei Heritage Association of Washington - Facilities</w:t>
      </w:r>
    </w:p>
    <w:p>
      <w:pPr>
        <w:spacing w:before="0" w:after="0" w:line="408" w:lineRule="exact"/>
        <w:ind w:left="0" w:right="0" w:firstLine="576"/>
        <w:jc w:val="left"/>
        <w:tabs>
          <w:tab w:val="right" w:leader="dot" w:pos="9936"/>
        </w:tabs>
      </w:pPr>
      <w:r>
        <w:rPr/>
        <w:t xml:space="preserve">Preservation and Long Term Operations Plan</w:t>
      </w:r>
      <w:r>
        <w:tab/>
      </w:r>
      <w:r>
        <w:rPr/>
        <w:t xml:space="preserve">$21,000</w:t>
      </w:r>
    </w:p>
    <w:p>
      <w:pPr>
        <w:spacing w:before="0" w:after="0" w:line="408" w:lineRule="exact"/>
        <w:ind w:left="0" w:right="0" w:firstLine="0"/>
        <w:jc w:val="left"/>
      </w:pPr>
      <w:r>
        <w:rPr/>
        <w:t xml:space="preserve">Princess Theater and the Green Room at the Princess</w:t>
      </w:r>
    </w:p>
    <w:p>
      <w:pPr>
        <w:spacing w:before="0" w:after="0" w:line="408" w:lineRule="exact"/>
        <w:ind w:left="0" w:right="0" w:firstLine="576"/>
        <w:jc w:val="left"/>
        <w:tabs>
          <w:tab w:val="right" w:leader="dot" w:pos="9936"/>
        </w:tabs>
      </w:pPr>
      <w:r>
        <w:rPr/>
        <w:t xml:space="preserve">Rehabilitation</w:t>
      </w:r>
      <w:r>
        <w:tab/>
      </w:r>
      <w:r>
        <w:rPr/>
        <w:t xml:space="preserve">$114,000</w:t>
      </w:r>
    </w:p>
    <w:p>
      <w:pPr>
        <w:spacing w:before="0" w:after="0" w:line="408" w:lineRule="exact"/>
        <w:ind w:left="0" w:right="0" w:firstLine="0"/>
        <w:jc w:val="left"/>
        <w:tabs>
          <w:tab w:val="right" w:leader="dot" w:pos="9936"/>
        </w:tabs>
      </w:pPr>
      <w:r>
        <w:rPr/>
        <w:t xml:space="preserve">M.V. Lotus Deck Replacement</w:t>
      </w:r>
      <w:r>
        <w:tab/>
      </w:r>
      <w:r>
        <w:rPr/>
        <w:t xml:space="preserve">$29,000</w:t>
      </w:r>
    </w:p>
    <w:p>
      <w:pPr>
        <w:spacing w:before="0" w:after="0" w:line="408" w:lineRule="exact"/>
        <w:ind w:left="0" w:right="0" w:firstLine="0"/>
        <w:jc w:val="left"/>
        <w:tabs>
          <w:tab w:val="right" w:leader="dot" w:pos="9936"/>
        </w:tabs>
      </w:pPr>
      <w:r>
        <w:rPr/>
        <w:t xml:space="preserve">Woodland Theatre Repair and Restoration</w:t>
      </w:r>
      <w:r>
        <w:tab/>
      </w:r>
      <w:r>
        <w:rPr/>
        <w:t xml:space="preserve">$44,000</w:t>
      </w:r>
    </w:p>
    <w:p>
      <w:pPr>
        <w:spacing w:before="0" w:after="0" w:line="408" w:lineRule="exact"/>
        <w:ind w:left="0" w:right="0" w:firstLine="0"/>
        <w:jc w:val="left"/>
        <w:tabs>
          <w:tab w:val="right" w:leader="dot" w:pos="9936"/>
        </w:tabs>
      </w:pPr>
      <w:r>
        <w:rPr/>
        <w:t xml:space="preserve">Pacific County Historical Society - Annex Storage Building</w:t>
      </w:r>
      <w:r>
        <w:tab/>
      </w:r>
      <w:r>
        <w:rPr/>
        <w:t xml:space="preserve">$32,000</w:t>
      </w:r>
    </w:p>
    <w:p>
      <w:pPr>
        <w:spacing w:before="0" w:after="0" w:line="408" w:lineRule="exact"/>
        <w:ind w:left="0" w:right="0" w:firstLine="0"/>
        <w:jc w:val="left"/>
        <w:tabs>
          <w:tab w:val="right" w:leader="dot" w:pos="9936"/>
        </w:tabs>
      </w:pPr>
      <w:r>
        <w:rPr/>
        <w:t xml:space="preserve">Historic Schooner Suva Preservation</w:t>
      </w:r>
      <w:r>
        <w:tab/>
      </w:r>
      <w:r>
        <w:rPr/>
        <w:t xml:space="preserve">$34,000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College Student Housing (92000028)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college to implement the initial steps for student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fifteen million, fifty seven thousand dollars for the 2017-2019 biennium, two hundred sixty-two million, two hundred ninety thousand dollars for the 2019-2021 biennium, and three hundred sixty-six million, four hundred seventy-five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(g) Enter into a financing contract on behalf of Clover Park Technical College for up to $33,288,000 plus financing expenses and required reserves pursuant to chapter 39.94 RCW to construct a center for advanced manufacturing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2018, (Senate Bill No. . . .,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$13,000,000 for</w:t>
      </w:r>
    </w:p>
    <w:p>
      <w:pPr>
        <w:spacing w:before="0" w:after="0" w:line="408" w:lineRule="exact"/>
        <w:ind w:left="0" w:right="0" w:firstLine="0"/>
        <w:jc w:val="left"/>
        <w:tabs>
          <w:tab w:val="right" w:leader="dot" w:pos="9936"/>
        </w:tabs>
      </w:pPr>
      <w:r>
        <w:rPr/>
        <w:t xml:space="preserve">fiscal year 2018 and $13,000,000 for fiscal year 2019</w:t>
      </w:r>
      <w:r>
        <w:tab/>
      </w:r>
      <w:r>
        <w:rPr/>
        <w:t xml:space="preserve">$26,000,000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$15,250,000 in</w:t>
      </w:r>
    </w:p>
    <w:p>
      <w:pPr>
        <w:spacing w:before="0" w:after="0" w:line="408" w:lineRule="exact"/>
        <w:ind w:left="0" w:right="0" w:firstLine="0"/>
        <w:jc w:val="left"/>
        <w:tabs>
          <w:tab w:val="right" w:leader="dot" w:pos="9936"/>
        </w:tabs>
      </w:pPr>
      <w:r>
        <w:rPr/>
        <w:t xml:space="preserve">fiscal year 2018 and $15,250,000 in fiscal year 2019</w:t>
      </w:r>
      <w:r>
        <w:tab/>
      </w:r>
      <w:r>
        <w:rPr/>
        <w:t xml:space="preserve">$30,500,000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recovery act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in consultation with the office of financial management, may sell the property known as the Tacoma Rhodes complex to the city of Tacoma. The property consists of the broadway building, market building, and parking garage. The department may negotiate a sale with the city of Tacoma for less than fair market value, but the city must pay appraisal costs, all debt service, all closing costs, and the cost of any outstanding liabilities necessary to keep the department whole. The terms and conditions of the sale must meet the business needs of the state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TASK FORCE ON IMPROVING STATE FUNDING FOR SCHOOL CONSTRUCTION.</w:t>
      </w:r>
      <w:r>
        <w:t xml:space="preserve">  </w:t>
      </w: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final findings and recommendations to the governor, the superintendent of public instruction, and the appropriate committees of the legislature by October 1,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4002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parks and recreation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enactment of 2017-2019 omnibus capital appropriations after the beginning of the fiscal biennium, in addition to any authority provided by law, for any project or program authorized in this act that a state agency will administer through a grant or loan, the administering state agency is authorized to reimburse the recipient of the grant or loan for expenses incurred on or after July 1, 2017, by the recipient with nonstate moneys, not to exceed the amount authorized for that project or program in this act.</w:t>
      </w:r>
    </w:p>
    <w:p>
      <w:pPr>
        <w:spacing w:before="0" w:after="0" w:line="408" w:lineRule="exact"/>
        <w:ind w:left="0" w:right="0" w:firstLine="576"/>
        <w:jc w:val="left"/>
      </w:pPr>
      <w:r>
        <w:rPr/>
        <w:t xml:space="preserve">If necessary to reimburse expenses incurred from July 1, 2017, to the effective date of this act, this authorization supersedes agency rules regarding timing and deadlines for grant or loan applications and rules limiting reimbursement to only those expenses incurred after execution of a grant or loan agreement, subject to the approval of the office of financial management. Reimbursement for expenses must comply with all other conditions and limitations that apply to the grant or loan project or program.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enactment of 2017-2019 omnibus capital appropriations after the beginning of the fiscal biennium, in addition to any authority provided by law, state agencies that receive appropriations in this act are authorized to reimburse cost of capital expenditures that:</w:t>
      </w:r>
    </w:p>
    <w:p>
      <w:pPr>
        <w:spacing w:before="0" w:after="0" w:line="408" w:lineRule="exact"/>
        <w:ind w:left="0" w:right="0" w:firstLine="576"/>
        <w:jc w:val="left"/>
      </w:pPr>
      <w:r>
        <w:rPr/>
        <w:t xml:space="preserve">(1) Were incurred between July 1, 2017, and the effective date of this section;</w:t>
      </w:r>
    </w:p>
    <w:p>
      <w:pPr>
        <w:spacing w:before="0" w:after="0" w:line="408" w:lineRule="exact"/>
        <w:ind w:left="0" w:right="0" w:firstLine="576"/>
        <w:jc w:val="left"/>
      </w:pPr>
      <w:r>
        <w:rPr/>
        <w:t xml:space="preserve">(2) Are for the capital projects or programs authorized in this act; and</w:t>
      </w:r>
    </w:p>
    <w:p>
      <w:pPr>
        <w:spacing w:before="0" w:after="0" w:line="408" w:lineRule="exact"/>
        <w:ind w:left="0" w:right="0" w:firstLine="576"/>
        <w:jc w:val="left"/>
      </w:pPr>
      <w:r>
        <w:rPr/>
        <w:t xml:space="preserve">(3) Were paid from omnibus operating budget appropriations or other permitted operating accounts.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fc9280a373849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e860a38b9e47b3" /><Relationship Type="http://schemas.openxmlformats.org/officeDocument/2006/relationships/footer" Target="/word/footer.xml" Id="Rdfc9280a37384915" /></Relationships>
</file>