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22045eb03401f" /></Relationships>
</file>

<file path=word/document.xml><?xml version="1.0" encoding="utf-8"?>
<w:document xmlns:w="http://schemas.openxmlformats.org/wordprocessingml/2006/main">
  <w:body>
    <w:p>
      <w:r>
        <w:t>S-3384.1</w:t>
      </w:r>
    </w:p>
    <w:p>
      <w:pPr>
        <w:jc w:val="center"/>
      </w:pPr>
      <w:r>
        <w:t>_______________________________________________</w:t>
      </w:r>
    </w:p>
    <w:p/>
    <w:p>
      <w:pPr>
        <w:jc w:val="center"/>
      </w:pPr>
      <w:r>
        <w:rPr>
          <w:b/>
        </w:rPr>
        <w:t>SENATE BILL 6124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Palumbo, Mullet, Frockt, Takko, Darneille, Rolfes, Billig, Cleveland, Kuderer, Wellman, Carlyle, Ranker, Hasegawa, Saldaña, Nelson, Keiser, McCoy, Van De Wege, Chase, and O'Ban</w:t>
      </w:r>
    </w:p>
    <w:p/>
    <w:p>
      <w:r>
        <w:rPr>
          <w:t xml:space="preserve">Prefiled 01/05/18.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court hearings under the involuntary commitment act may be conducted by video; and amending RCW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w:t>
      </w:r>
      <w:r>
        <w:rPr>
          <w:u w:val="single"/>
        </w:rPr>
        <w:t xml:space="preserve">"Hearing" means any proceeding conducted in open court. For purposes of this chapter, at any hearing the petitioner, the respondent, the witnesses, and the presiding judicial officer may be present and participate either in person or by video.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u w:val="single"/>
        </w:rPr>
        <w:t xml:space="preserve">(23)</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
      <w:pPr>
        <w:jc w:val="center"/>
      </w:pPr>
      <w:r>
        <w:rPr>
          <w:b/>
        </w:rPr>
        <w:t>--- END ---</w:t>
      </w:r>
    </w:p>
    <w:sectPr>
      <w:pgNumType w:start="1"/>
      <w:footerReference xmlns:r="http://schemas.openxmlformats.org/officeDocument/2006/relationships" r:id="R9d792ce343ea4c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3249a95434237" /><Relationship Type="http://schemas.openxmlformats.org/officeDocument/2006/relationships/footer" Target="/word/footer.xml" Id="R9d792ce343ea4cf2" /></Relationships>
</file>