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bf79f0d344984" /></Relationships>
</file>

<file path=word/document.xml><?xml version="1.0" encoding="utf-8"?>
<w:document xmlns:w="http://schemas.openxmlformats.org/wordprocessingml/2006/main">
  <w:body>
    <w:p>
      <w:r>
        <w:t>Z-0801.1</w:t>
      </w:r>
    </w:p>
    <w:p>
      <w:pPr>
        <w:jc w:val="center"/>
      </w:pPr>
      <w:r>
        <w:t>_______________________________________________</w:t>
      </w:r>
    </w:p>
    <w:p/>
    <w:p>
      <w:pPr>
        <w:jc w:val="center"/>
      </w:pPr>
      <w:r>
        <w:rPr>
          <w:b/>
        </w:rPr>
        <w:t>SENATE BILL 6174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Rolfes;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budget stabilization account transfers; amending RCW 43.79.496;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2017 3rd sp.s. c 29 s 5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During the 2017-2019 fiscal biennium, the treasurer shall transfer into the state general fund the entire budget stabilization account deposit for the 2017-2019 fiscal biennium that is attributable to extraordinary revenue growth, not to exceed one billion seventy-eight million dollars.</w:t>
      </w:r>
    </w:p>
    <w:p>
      <w:pPr>
        <w:spacing w:before="0" w:after="0" w:line="408" w:lineRule="exact"/>
        <w:ind w:left="0" w:right="0" w:firstLine="576"/>
        <w:jc w:val="left"/>
      </w:pPr>
      <w:r>
        <w:rPr/>
        <w:t xml:space="preserve">(3) </w:t>
      </w:r>
      <w:r>
        <w:rPr>
          <w:u w:val="single"/>
        </w:rPr>
        <w:t xml:space="preserve">By June 30, 2020, the treasurer shall transfer into the state general fund the one percent of general state revenues deposited into the budget stabilization account for fiscal year 2020. By June 30, 2021, the treasurer shall transfer into the state general fund the one percent of general state revenues deposited into the budget stabilization account for fiscal year 2021. The amounts transferred under this subsection during the 2019-2021 biennium may not exceed five hundred million dollars.</w:t>
      </w:r>
    </w:p>
    <w:p>
      <w:pPr>
        <w:spacing w:before="0" w:after="0" w:line="408" w:lineRule="exact"/>
        <w:ind w:left="0" w:right="0" w:firstLine="576"/>
        <w:jc w:val="left"/>
      </w:pPr>
      <w:r>
        <w:rPr>
          <w:u w:val="single"/>
        </w:rPr>
        <w:t xml:space="preserve">(4)</w:t>
      </w:r>
      <w:r>
        <w:rPr/>
        <w:t xml:space="preserve"> For purposes of RCW 43.88.055(4), the transfers in this section do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2019.</w:t>
      </w:r>
    </w:p>
    <w:p/>
    <w:p>
      <w:pPr>
        <w:jc w:val="center"/>
      </w:pPr>
      <w:r>
        <w:rPr>
          <w:b/>
        </w:rPr>
        <w:t>--- END ---</w:t>
      </w:r>
    </w:p>
    <w:sectPr>
      <w:pgNumType w:start="1"/>
      <w:footerReference xmlns:r="http://schemas.openxmlformats.org/officeDocument/2006/relationships" r:id="R8b481364f8c44d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3484b7f424e6f" /><Relationship Type="http://schemas.openxmlformats.org/officeDocument/2006/relationships/footer" Target="/word/footer.xml" Id="R8b481364f8c44d62" /></Relationships>
</file>