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be6e4bf21a4ab1" /></Relationships>
</file>

<file path=word/document.xml><?xml version="1.0" encoding="utf-8"?>
<w:document xmlns:w="http://schemas.openxmlformats.org/wordprocessingml/2006/main">
  <w:body>
    <w:p>
      <w:r>
        <w:t>Z-0682.1</w:t>
      </w:r>
    </w:p>
    <w:p>
      <w:pPr>
        <w:jc w:val="center"/>
      </w:pPr>
      <w:r>
        <w:t>_______________________________________________</w:t>
      </w:r>
    </w:p>
    <w:p/>
    <w:p>
      <w:pPr>
        <w:jc w:val="center"/>
      </w:pPr>
      <w:r>
        <w:rPr>
          <w:b/>
        </w:rPr>
        <w:t>SENATE BILL 6216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Saldaña, O'Ban, Dhingra, Frockt, Darneille, Pedersen, Kuderer, and Liias; by request of Attorney General</w:t>
      </w:r>
    </w:p>
    <w:p/>
    <w:p>
      <w:r>
        <w:rPr>
          <w:t xml:space="preserve">Read first time 01/10/18.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program for the consolidation of traffic-based financial obligations; amending RCW 2.56.030 and 46.63.110; adding a new section to chapter 2.56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driver's license suspensions are a frequent consequence when individuals fail to pay their traffic fines, and that such failure to pay is sometimes caused by the inability of an individual to pay all of the fines at once. The legislature desires to provide a mechanism for consolidating a person's traffic-based financial obligations into a single affordable payment plan that facilitates the appropriate reinstatement of driving privileges.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030</w:t>
      </w:r>
      <w:r>
        <w:rPr/>
        <w:t xml:space="preserve"> and 2009 c 479 s 2 are each amended to read as follows:</w:t>
      </w:r>
    </w:p>
    <w:p>
      <w:pPr>
        <w:spacing w:before="0" w:after="0" w:line="408" w:lineRule="exact"/>
        <w:ind w:left="0" w:right="0" w:firstLine="576"/>
        <w:jc w:val="left"/>
      </w:pPr>
      <w:r>
        <w:rPr/>
        <w:t xml:space="preserve">The administrator for the courts shall, under the supervision and direction of the chief justice:</w:t>
      </w:r>
    </w:p>
    <w:p>
      <w:pPr>
        <w:spacing w:before="0" w:after="0" w:line="408" w:lineRule="exact"/>
        <w:ind w:left="0" w:right="0" w:firstLine="576"/>
        <w:jc w:val="left"/>
      </w:pPr>
      <w:r>
        <w:rPr/>
        <w:t xml:space="preserve">(1) Examine the administrative methods and systems employed in the offices of the judges, clerks, stenographers, and employees of the courts and make recommendations, through the chief justice, for the improvement of the same;</w:t>
      </w:r>
    </w:p>
    <w:p>
      <w:pPr>
        <w:spacing w:before="0" w:after="0" w:line="408" w:lineRule="exact"/>
        <w:ind w:left="0" w:right="0" w:firstLine="576"/>
        <w:jc w:val="left"/>
      </w:pPr>
      <w:r>
        <w:rPr/>
        <w:t xml:space="preserve">(2) Examine the state of the dockets of the courts and determine the need for assistance by any court;</w:t>
      </w:r>
    </w:p>
    <w:p>
      <w:pPr>
        <w:spacing w:before="0" w:after="0" w:line="408" w:lineRule="exact"/>
        <w:ind w:left="0" w:right="0" w:firstLine="576"/>
        <w:jc w:val="left"/>
      </w:pPr>
      <w:r>
        <w:rPr/>
        <w:t xml:space="preserve">(3) Make recommendations to the chief justice relating to the assignment of judges where courts are in need of assistance and carry out the direction of the chief justice as to the assignments of judges to counties and districts where the courts are in need of assistance;</w:t>
      </w:r>
    </w:p>
    <w:p>
      <w:pPr>
        <w:spacing w:before="0" w:after="0" w:line="408" w:lineRule="exact"/>
        <w:ind w:left="0" w:right="0" w:firstLine="576"/>
        <w:jc w:val="left"/>
      </w:pPr>
      <w:r>
        <w:rPr/>
        <w:t xml:space="preserve">(4) Collect and compile statistical and other data and make reports of the business transacted by the courts and transmit the same to the chief justice to the end that proper action may be taken in respect thereto;</w:t>
      </w:r>
    </w:p>
    <w:p>
      <w:pPr>
        <w:spacing w:before="0" w:after="0" w:line="408" w:lineRule="exact"/>
        <w:ind w:left="0" w:right="0" w:firstLine="576"/>
        <w:jc w:val="left"/>
      </w:pPr>
      <w:r>
        <w:rPr/>
        <w:t xml:space="preserve">(5) Prepare and submit budget estimates of state appropriations necessary for the maintenance and operation of the judicial system and make recommendations in respect thereto;</w:t>
      </w:r>
    </w:p>
    <w:p>
      <w:pPr>
        <w:spacing w:before="0" w:after="0" w:line="408" w:lineRule="exact"/>
        <w:ind w:left="0" w:right="0" w:firstLine="576"/>
        <w:jc w:val="left"/>
      </w:pPr>
      <w:r>
        <w:rPr/>
        <w:t xml:space="preserve">(6) Collect statistical and other data and make reports relating to the expenditure of public moneys, state and local, for the maintenance and operation of the judicial system and the offices connected therewith;</w:t>
      </w:r>
    </w:p>
    <w:p>
      <w:pPr>
        <w:spacing w:before="0" w:after="0" w:line="408" w:lineRule="exact"/>
        <w:ind w:left="0" w:right="0" w:firstLine="576"/>
        <w:jc w:val="left"/>
      </w:pPr>
      <w:r>
        <w:rPr/>
        <w:t xml:space="preserve">(7) Obtain reports from clerks of courts in accordance with law or rules adopted by the supreme court of this state on cases and other judicial business in which action has been delayed beyond periods of time specified by law or rules of court and make report thereof to supreme court of this state;</w:t>
      </w:r>
    </w:p>
    <w:p>
      <w:pPr>
        <w:spacing w:before="0" w:after="0" w:line="408" w:lineRule="exact"/>
        <w:ind w:left="0" w:right="0" w:firstLine="576"/>
        <w:jc w:val="left"/>
      </w:pPr>
      <w:r>
        <w:rPr/>
        <w:t xml:space="preserve">(8) Act as secretary of the judicial conference referred to in RCW 2.56.060;</w:t>
      </w:r>
    </w:p>
    <w:p>
      <w:pPr>
        <w:spacing w:before="0" w:after="0" w:line="408" w:lineRule="exact"/>
        <w:ind w:left="0" w:right="0" w:firstLine="576"/>
        <w:jc w:val="left"/>
      </w:pPr>
      <w:r>
        <w:rPr/>
        <w:t xml:space="preserve">(9) Submit annually, as of February 1st, to the chief justice, a report of the activities of the administrator's office for the preceding calendar year including activities related to courthouse security;</w:t>
      </w:r>
    </w:p>
    <w:p>
      <w:pPr>
        <w:spacing w:before="0" w:after="0" w:line="408" w:lineRule="exact"/>
        <w:ind w:left="0" w:right="0" w:firstLine="576"/>
        <w:jc w:val="left"/>
      </w:pPr>
      <w:r>
        <w:rPr/>
        <w:t xml:space="preserve">(10) Administer programs and standards for the training and education of judicial personnel;</w:t>
      </w:r>
    </w:p>
    <w:p>
      <w:pPr>
        <w:spacing w:before="0" w:after="0" w:line="408" w:lineRule="exact"/>
        <w:ind w:left="0" w:right="0" w:firstLine="576"/>
        <w:jc w:val="left"/>
      </w:pPr>
      <w:r>
        <w:rPr/>
        <w:t xml:space="preserve">(11) Examine the need for new superior court and district court judge positions under an objective workload analysis. The results of the objective workload analysis shall be reviewed by the board for judicial administration which shall make recommendations to the legislature. It is the intent of the legislature that an objective workload analysis become the basis for creating additional district and superior court positions, and recommendations should address that objective;</w:t>
      </w:r>
    </w:p>
    <w:p>
      <w:pPr>
        <w:spacing w:before="0" w:after="0" w:line="408" w:lineRule="exact"/>
        <w:ind w:left="0" w:right="0" w:firstLine="576"/>
        <w:jc w:val="left"/>
      </w:pPr>
      <w:r>
        <w:rPr/>
        <w:t xml:space="preserve">(12) Provide staff to the judicial retirement account plan under chapter 2.14 RCW;</w:t>
      </w:r>
    </w:p>
    <w:p>
      <w:pPr>
        <w:spacing w:before="0" w:after="0" w:line="408" w:lineRule="exact"/>
        <w:ind w:left="0" w:right="0" w:firstLine="576"/>
        <w:jc w:val="left"/>
      </w:pPr>
      <w:r>
        <w:rPr/>
        <w:t xml:space="preserve">(13) Attend to such other matters as may be assigned by the supreme court of this state;</w:t>
      </w:r>
    </w:p>
    <w:p>
      <w:pPr>
        <w:spacing w:before="0" w:after="0" w:line="408" w:lineRule="exact"/>
        <w:ind w:left="0" w:right="0" w:firstLine="576"/>
        <w:jc w:val="left"/>
      </w:pPr>
      <w:r>
        <w:rPr/>
        <w:t xml:space="preserve">(14) Within available funds, develop a curriculum for a general understanding of child development, placement, and treatment resources, as well as specific legal skills and knowledge of relevant statutes including chapters 13.32A, 13.34, and 13.40 RCW, cases, court rules, interviewing skills, and special needs of the abused or neglected child. This curriculum shall be completed and made available to all juvenile court judges, court personnel, and service providers and be updated yearly to reflect changes in statutes, court rules, or case law;</w:t>
      </w:r>
    </w:p>
    <w:p>
      <w:pPr>
        <w:spacing w:before="0" w:after="0" w:line="408" w:lineRule="exact"/>
        <w:ind w:left="0" w:right="0" w:firstLine="576"/>
        <w:jc w:val="left"/>
      </w:pPr>
      <w:r>
        <w:rPr/>
        <w:t xml:space="preserve">(15) Develop, in consultation with the entities set forth in RCW 2.56.150(3), a comprehensive statewide curriculum for persons who act as guardians ad litem under Title 13 or 26 RCW. The curriculum shall be made available July 1, 2008, and include specialty sections on child development, child sexual abuse, child physical abuse, child neglect, domestic violence, clinical and forensic investigative and interviewing techniques, family reconciliation and mediation services, and relevant statutory and legal requirements. The curriculum shall be made available to all superior court judges, court personnel, and all persons who act as guardians ad litem;</w:t>
      </w:r>
    </w:p>
    <w:p>
      <w:pPr>
        <w:spacing w:before="0" w:after="0" w:line="408" w:lineRule="exact"/>
        <w:ind w:left="0" w:right="0" w:firstLine="576"/>
        <w:jc w:val="left"/>
      </w:pPr>
      <w:r>
        <w:rPr/>
        <w:t xml:space="preserve">(16) Develop a curriculum for a general understanding of crimes of malicious harassment, as well as specific legal skills and knowledge of RCW 9A.36.080, relevant cases, court rules, and the special needs of malicious harassment victims. This curriculum shall be made available to all superior court and court of appeals judges and to all justices of the supreme court;</w:t>
      </w:r>
    </w:p>
    <w:p>
      <w:pPr>
        <w:spacing w:before="0" w:after="0" w:line="408" w:lineRule="exact"/>
        <w:ind w:left="0" w:right="0" w:firstLine="576"/>
        <w:jc w:val="left"/>
      </w:pPr>
      <w:r>
        <w:rPr/>
        <w:t xml:space="preserve">(17) Develop, in consultation with the criminal justice training commission and the commissions established under chapters 43.113, 43.115, and 43.117 RCW, a curriculum for a general understanding of ethnic and cultural diversity and its implications for working with youth of color and their families. The curriculum shall be available to all superior court judges and court commissioners assigned to juvenile court, and other court personnel. Ethnic and cultural diversity training shall be provided annually so as to incorporate cultural sensitivity and awareness into the daily operation of juvenile courts statewide;</w:t>
      </w:r>
    </w:p>
    <w:p>
      <w:pPr>
        <w:spacing w:before="0" w:after="0" w:line="408" w:lineRule="exact"/>
        <w:ind w:left="0" w:right="0" w:firstLine="576"/>
        <w:jc w:val="left"/>
      </w:pPr>
      <w:r>
        <w:rPr/>
        <w:t xml:space="preserve">(18) Authorize the use of closed circuit television and other electronic equipment in judicial proceedings. The administrator shall promulgate necessary standards and procedures and shall provide technical assistance to courts as required;</w:t>
      </w:r>
    </w:p>
    <w:p>
      <w:pPr>
        <w:spacing w:before="0" w:after="0" w:line="408" w:lineRule="exact"/>
        <w:ind w:left="0" w:right="0" w:firstLine="576"/>
        <w:jc w:val="left"/>
      </w:pPr>
      <w:r>
        <w:rPr/>
        <w:t xml:space="preserve">(19) Develop a Washington family law handbook in accordance with RCW 2.56.180;</w:t>
      </w:r>
    </w:p>
    <w:p>
      <w:pPr>
        <w:spacing w:before="0" w:after="0" w:line="408" w:lineRule="exact"/>
        <w:ind w:left="0" w:right="0" w:firstLine="576"/>
        <w:jc w:val="left"/>
      </w:pPr>
      <w:r>
        <w:rPr/>
        <w:t xml:space="preserve">(20) Administer state funds for improving the operation of the courts and provide support for court coordinating councils, under the direction of the board for judicial administration;</w:t>
      </w:r>
    </w:p>
    <w:p>
      <w:pPr>
        <w:spacing w:before="0" w:after="0" w:line="408" w:lineRule="exact"/>
        <w:ind w:left="0" w:right="0" w:firstLine="576"/>
        <w:jc w:val="left"/>
      </w:pPr>
      <w:r>
        <w:rPr/>
        <w:t xml:space="preserve">(21) Administer the family and juvenile court improvement grant program;</w:t>
      </w:r>
    </w:p>
    <w:p>
      <w:pPr>
        <w:spacing w:before="0" w:after="0" w:line="408" w:lineRule="exact"/>
        <w:ind w:left="0" w:right="0" w:firstLine="576"/>
        <w:jc w:val="left"/>
      </w:pPr>
      <w:r>
        <w:rPr/>
        <w:t xml:space="preserve">(22)(a) Administer and distribute amounts appropriated under RCW 43.08.250(2) for district court judges' and qualifying elected municipal court judges' salary contributions. The administrator for the courts shall develop a distribution formula for these amounts that does not differentiate between district and elected municipal court judges.</w:t>
      </w:r>
    </w:p>
    <w:p>
      <w:pPr>
        <w:spacing w:before="0" w:after="0" w:line="408" w:lineRule="exact"/>
        <w:ind w:left="0" w:right="0" w:firstLine="576"/>
        <w:jc w:val="left"/>
      </w:pPr>
      <w:r>
        <w:rPr/>
        <w:t xml:space="preserve">(b) A city qualifies for state contribution of elected municipal court judges' salaries under (a) of this subsection if:</w:t>
      </w:r>
    </w:p>
    <w:p>
      <w:pPr>
        <w:spacing w:before="0" w:after="0" w:line="408" w:lineRule="exact"/>
        <w:ind w:left="0" w:right="0" w:firstLine="576"/>
        <w:jc w:val="left"/>
      </w:pPr>
      <w:r>
        <w:rPr/>
        <w:t xml:space="preserve">(i) The judge is serving in an elected position;</w:t>
      </w:r>
    </w:p>
    <w:p>
      <w:pPr>
        <w:spacing w:before="0" w:after="0" w:line="408" w:lineRule="exact"/>
        <w:ind w:left="0" w:right="0" w:firstLine="576"/>
        <w:jc w:val="left"/>
      </w:pPr>
      <w:r>
        <w:rPr/>
        <w:t xml:space="preserve">(ii) The city has established by ordinance that a full-time judge is compensated at a rate equivalent to at least ninety-five percent, but not more than one hundred percent, of a district court judge salary or for a part-time judge on a pro rata basis the same equivalent; and</w:t>
      </w:r>
    </w:p>
    <w:p>
      <w:pPr>
        <w:spacing w:before="0" w:after="0" w:line="408" w:lineRule="exact"/>
        <w:ind w:left="0" w:right="0" w:firstLine="576"/>
        <w:jc w:val="left"/>
      </w:pPr>
      <w:r>
        <w:rPr/>
        <w:t xml:space="preserve">(iii) The city has certified to the office of the administrator for the courts that the conditions in (b)(i) and (ii) of this subsection have been met;</w:t>
      </w:r>
    </w:p>
    <w:p>
      <w:pPr>
        <w:spacing w:before="0" w:after="0" w:line="408" w:lineRule="exact"/>
        <w:ind w:left="0" w:right="0" w:firstLine="576"/>
        <w:jc w:val="left"/>
      </w:pPr>
      <w:r>
        <w:rPr/>
        <w:t xml:space="preserve">(23) Subject to the availability of funds specifically appropriated therefor, assist courts in the development and implementation of language assistance plans required under RCW 2.43.090</w:t>
      </w:r>
      <w:r>
        <w:rPr>
          <w:u w:val="single"/>
        </w:rPr>
        <w:t xml:space="preserve">;</w:t>
      </w:r>
    </w:p>
    <w:p>
      <w:pPr>
        <w:spacing w:before="0" w:after="0" w:line="408" w:lineRule="exact"/>
        <w:ind w:left="0" w:right="0" w:firstLine="576"/>
        <w:jc w:val="left"/>
      </w:pPr>
      <w:r>
        <w:rPr>
          <w:u w:val="single"/>
        </w:rPr>
        <w:t xml:space="preserve">(24) Establish a unified payment plan system for the consolidation of multiple traffic-based financial obligations in accordance with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administrator for the courts shall create a unified payment plan system to allow for the consolidation of multiple traffic-based financial obligations from courts of limited jurisdiction.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"Payment plan" has the meaning provided in RCW 46.63.110(6).</w:t>
      </w:r>
    </w:p>
    <w:p>
      <w:pPr>
        <w:spacing w:before="0" w:after="0" w:line="408" w:lineRule="exact"/>
        <w:ind w:left="0" w:right="0" w:firstLine="576"/>
        <w:jc w:val="left"/>
      </w:pPr>
      <w:r>
        <w:rPr/>
        <w:t xml:space="preserve">(b) "Traffic-based financial obligations" means any monetary penalty or monetary obligation imposed when a person is either found to have committed a traffic infraction or found to be guilty of a traffic misdemeanor or gross misdemeanor offense, and includes all associated costs, fees, fines, and pecuniary penalties.</w:t>
      </w:r>
    </w:p>
    <w:p>
      <w:pPr>
        <w:spacing w:before="0" w:after="0" w:line="408" w:lineRule="exact"/>
        <w:ind w:left="0" w:right="0" w:firstLine="576"/>
        <w:jc w:val="left"/>
      </w:pPr>
      <w:r>
        <w:rPr/>
        <w:t xml:space="preserve">(3) The administrator for the courts may use collection agencies to the same extent as courts of limited jurisdiction as provided in RCW 3.02.045.</w:t>
      </w:r>
    </w:p>
    <w:p>
      <w:pPr>
        <w:spacing w:before="0" w:after="0" w:line="408" w:lineRule="exact"/>
        <w:ind w:left="0" w:right="0" w:firstLine="576"/>
        <w:jc w:val="left"/>
      </w:pPr>
      <w:r>
        <w:rPr/>
        <w:t xml:space="preserve">(4) Except as provided in subsection (5) of this section, a person is eligible to participate in the unified payment plan system when he or she has either:</w:t>
      </w:r>
    </w:p>
    <w:p>
      <w:pPr>
        <w:spacing w:before="0" w:after="0" w:line="408" w:lineRule="exact"/>
        <w:ind w:left="0" w:right="0" w:firstLine="576"/>
        <w:jc w:val="left"/>
      </w:pPr>
      <w:r>
        <w:rPr/>
        <w:t xml:space="preserve">(a) More than one order for a license suspension issued pursuant to RCW 46.20.289 on his or her driving abstract in effect at the time of application; or</w:t>
      </w:r>
    </w:p>
    <w:p>
      <w:pPr>
        <w:spacing w:before="0" w:after="0" w:line="408" w:lineRule="exact"/>
        <w:ind w:left="0" w:right="0" w:firstLine="576"/>
        <w:jc w:val="left"/>
      </w:pPr>
      <w:r>
        <w:rPr/>
        <w:t xml:space="preserve">(b) One order for a license suspension issued pursuant to RCW 46.20.289 on his or her driving abstract in effect at the time of application and outstanding traffic-based financial obligations totaling more than seven hundred fifty dollars.</w:t>
      </w:r>
    </w:p>
    <w:p>
      <w:pPr>
        <w:spacing w:before="0" w:after="0" w:line="408" w:lineRule="exact"/>
        <w:ind w:left="0" w:right="0" w:firstLine="576"/>
        <w:jc w:val="left"/>
      </w:pPr>
      <w:r>
        <w:rPr/>
        <w:t xml:space="preserve">(5)(a) A person is ineligible to participate in the unified payment plan system if he or she is the subject of any outstanding arrest warrant.</w:t>
      </w:r>
    </w:p>
    <w:p>
      <w:pPr>
        <w:spacing w:before="0" w:after="0" w:line="408" w:lineRule="exact"/>
        <w:ind w:left="0" w:right="0" w:firstLine="576"/>
        <w:jc w:val="left"/>
      </w:pPr>
      <w:r>
        <w:rPr/>
        <w:t xml:space="preserve">(b) A person is temporarily ineligible to participate in the unified payment plan system for a period of two years if he or she had his or her payment plan terminated more than three times in the most recent three-year period.</w:t>
      </w:r>
    </w:p>
    <w:p>
      <w:pPr>
        <w:spacing w:before="0" w:after="0" w:line="408" w:lineRule="exact"/>
        <w:ind w:left="0" w:right="0" w:firstLine="576"/>
        <w:jc w:val="left"/>
      </w:pPr>
      <w:r>
        <w:rPr/>
        <w:t xml:space="preserve">(6) The supreme court shall prescribe by rule a policy governing payment plan terms for the unified payment plan system. The legislature respectfully requests the supreme court to review the policy every two years in conjunction with adjusting the schedule of monetary penalties for designated traffic infractions as provided in RCW 46.63.110(3).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w:t>
      </w:r>
      <w:r>
        <w:rPr>
          <w:u w:val="single"/>
        </w:rPr>
        <w:t xml:space="preserve">or has entered into a payment plan through the unified payment plan system authorized under section 3 of this act</w:t>
      </w:r>
      <w:r>
        <w:rPr/>
        <w:t xml:space="preserve">.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w:t>
      </w:r>
      <w:r>
        <w:rPr>
          <w:u w:val="single"/>
        </w:rPr>
        <w:t xml:space="preserve">If a person has not entered into a payment plan with the court and has not paid the monetary obligation in full on or before the time established for payment, the person, if eligible, may apply to participate in the unified payment plan system authorized under section 3 of this act.</w:t>
      </w:r>
    </w:p>
    <w:p>
      <w:pPr>
        <w:spacing w:before="0" w:after="0" w:line="408" w:lineRule="exact"/>
        <w:ind w:left="0" w:right="0" w:firstLine="576"/>
        <w:jc w:val="left"/>
      </w:pPr>
      <w:r>
        <w:rPr>
          <w:u w:val="single"/>
        </w:rPr>
        <w:t xml:space="preserve">(d)</w:t>
      </w:r>
      <w:r>
        <w:rPr/>
        <w:t xml:space="preserve"> If the payment plan is to be administered by the court </w:t>
      </w:r>
      <w:r>
        <w:rPr>
          <w:u w:val="single"/>
        </w:rPr>
        <w:t xml:space="preserve">or the administrator for the courts</w:t>
      </w:r>
      <w:r>
        <w:rPr/>
        <w:t xml:space="preserve">, the court </w:t>
      </w:r>
      <w:r>
        <w:rPr>
          <w:u w:val="single"/>
        </w:rPr>
        <w:t xml:space="preserve">or the administrator for the courts</w:t>
      </w:r>
      <w:r>
        <w:rPr/>
        <w:t xml:space="preserve"> may assess the person a reasonable administrative fee </w:t>
      </w:r>
      <w:r>
        <w:t>((</w:t>
      </w:r>
      <w:r>
        <w:rPr>
          <w:strike/>
        </w:rPr>
        <w:t xml:space="preserve">to be</w:t>
      </w:r>
      <w:r>
        <w:t>))</w:t>
      </w:r>
      <w:r>
        <w:rPr>
          <w:u w:val="single"/>
        </w:rPr>
        <w:t xml:space="preserve">. If such fee is assessed by the court, the fee is</w:t>
      </w:r>
      <w:r>
        <w:rPr/>
        <w:t xml:space="preserve"> wholly retained by the city or county with jurisdiction. </w:t>
      </w:r>
      <w:r>
        <w:rPr>
          <w:u w:val="single"/>
        </w:rPr>
        <w:t xml:space="preserve">If such fee is assessed by the administrator for the courts, the fee is wholly retained by the administrator for the courts.</w:t>
      </w:r>
      <w:r>
        <w:rPr/>
        <w:t xml:space="preserve"> The administrative fee shall not exceed ten dollars per infraction or twenty-five dollars per payment plan, whichever is less</w:t>
      </w:r>
      <w:r>
        <w:rPr>
          <w:u w:val="single"/>
        </w:rPr>
        <w:t xml:space="preserve">, except that when the administrative fee is assessed by the administrator for the courts the fee may be equivalent to the amount allowed under RCW 46.20.341(2)(e)</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Nothing in this section precludes a court </w:t>
      </w:r>
      <w:r>
        <w:rPr>
          <w:u w:val="single"/>
        </w:rPr>
        <w:t xml:space="preserve">or the administrator for the courts</w:t>
      </w:r>
      <w:r>
        <w:rPr/>
        <w:t xml:space="preserve"> from contracting with outside entities to administer its payment plan system. When outside entities are used for the administration of a payment plan, the court </w:t>
      </w:r>
      <w:r>
        <w:rPr>
          <w:u w:val="single"/>
        </w:rPr>
        <w:t xml:space="preserve">or the administrator for the courts</w:t>
      </w:r>
      <w:r>
        <w:rPr/>
        <w:t xml:space="preserve"> may assess the person a reasonable fee for such administrative services, which fee may be calculated on a periodic, percentage, or other basis.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
      <w:pPr>
        <w:jc w:val="center"/>
      </w:pPr>
      <w:r>
        <w:rPr>
          <w:b/>
        </w:rPr>
        <w:t>--- END ---</w:t>
      </w:r>
    </w:p>
    <w:sectPr>
      <w:pgNumType w:start="1"/>
      <w:footerReference xmlns:r="http://schemas.openxmlformats.org/officeDocument/2006/relationships" r:id="Rec3abcbc90a144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a98ee63aed4632" /><Relationship Type="http://schemas.openxmlformats.org/officeDocument/2006/relationships/footer" Target="/word/footer.xml" Id="Rec3abcbc90a14431" /></Relationships>
</file>