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33ab383fb4852" /></Relationships>
</file>

<file path=word/document.xml><?xml version="1.0" encoding="utf-8"?>
<w:document xmlns:w="http://schemas.openxmlformats.org/wordprocessingml/2006/main">
  <w:body>
    <w:p>
      <w:r>
        <w:t>S-4151.3</w:t>
      </w:r>
    </w:p>
    <w:p>
      <w:pPr>
        <w:jc w:val="center"/>
      </w:pPr>
      <w:r>
        <w:t>_______________________________________________</w:t>
      </w:r>
    </w:p>
    <w:p/>
    <w:p>
      <w:pPr>
        <w:jc w:val="center"/>
      </w:pPr>
      <w:r>
        <w:rPr>
          <w:b/>
        </w:rPr>
        <w:t>SUBSTITUTE SENATE BILL 6268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Ranker, Rolfes, Chase, Van De Wege, Conway, Keiser, Liias, Frockt, Hasegawa, Hunt,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adding a new section to chapter 77.15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 order to facilitate the enforcement of RCW 77.15.740, provide extra protection to newborn calves, and protect critical feeding areas, the department must conduct patrols during the twenty-two most active weeks for southern resident killer whale viewing activity each year. In doing so, the department must prioritize Wednesday through Monday patrols when recreational whale watching activity is most active.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w:t>
      </w:r>
      <w:r>
        <w:rPr>
          <w:u w:val="single"/>
        </w:rPr>
        <w:t xml:space="preserve">, aircraft, remotely controlled aerial vehicle,</w:t>
      </w:r>
      <w:r>
        <w:rPr/>
        <w:t xml:space="preserve">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Cause a vessel to exceed a speed over ground of seven knots within four hundred yards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coordinate with appropriate federal, tribal, county,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December 31, 2020.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1336f7873aa647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167b619254762" /><Relationship Type="http://schemas.openxmlformats.org/officeDocument/2006/relationships/footer" Target="/word/footer.xml" Id="R1336f7873aa64736" /></Relationships>
</file>