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74bb0bdff4e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Angel, and Chase)</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maintenance and repair work that is common but unpredictable in its timing and scope can sometimes be overly burdensome to procure through a competitive bid process. It is an efficient mechanism to maintain essential services to port customers, often on short notice or in emergency situations to allow port districts to contract without calling for bids when public works do not exceed forty thousand dollars.</w:t>
      </w:r>
    </w:p>
    <w:p>
      <w:pPr>
        <w:spacing w:before="0" w:after="0" w:line="408" w:lineRule="exact"/>
        <w:ind w:left="0" w:right="0" w:firstLine="576"/>
        <w:jc w:val="left"/>
      </w:pPr>
      <w:r>
        <w:rPr/>
        <w:t xml:space="preserve">(2) The legislature also finds that the necessary work continues to be performed safely and at a competitive rate by responsible contractors, and also saves public money because of additional costs that would be incurred by bidding each contract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
      <w:pPr>
        <w:jc w:val="center"/>
      </w:pPr>
      <w:r>
        <w:rPr>
          <w:b/>
        </w:rPr>
        <w:t>--- END ---</w:t>
      </w:r>
    </w:p>
    <w:sectPr>
      <w:pgNumType w:start="1"/>
      <w:footerReference xmlns:r="http://schemas.openxmlformats.org/officeDocument/2006/relationships" r:id="Rb5f9ad71aa6947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38421b40e4d1a" /><Relationship Type="http://schemas.openxmlformats.org/officeDocument/2006/relationships/footer" Target="/word/footer.xml" Id="Rb5f9ad71aa694757" /></Relationships>
</file>