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97a2c9f7144b53" /></Relationships>
</file>

<file path=word/document.xml><?xml version="1.0" encoding="utf-8"?>
<w:document xmlns:w="http://schemas.openxmlformats.org/wordprocessingml/2006/main">
  <w:body>
    <w:p>
      <w:r>
        <w:t>S-4590.1</w:t>
      </w:r>
    </w:p>
    <w:p>
      <w:pPr>
        <w:jc w:val="center"/>
      </w:pPr>
      <w:r>
        <w:t>_______________________________________________</w:t>
      </w:r>
    </w:p>
    <w:p/>
    <w:p>
      <w:pPr>
        <w:jc w:val="center"/>
      </w:pPr>
      <w:r>
        <w:rPr>
          <w:b/>
        </w:rPr>
        <w:t>SUBSTITUTE SENATE BILL 6361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Economic Development &amp; International Trade (originally sponsored by Senators Billig, Baumgartner, Conway, Short, and Darneille)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cities to establish a limited tax expenditure from local property taxes for the value of new construction to encourage redevelopment of vacant lands in urban areas;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expenditures reduce revenues collected from the tax base and provide preferential treatment to some at the expense of those not getting a tax expenditure. Almost as much money as is collected in tax revenues is not collected and is given out as tax expenditures. While every expenditure of revenue must be authorized and appropriated in the state budget approved by the legislature, the massive amounts of funding for these tax preferences and exemptions continue without any readoption by the legislature in each budget. These exemptions and preferences are, therefore, tax expenditures, most of which continue without any legislative action year after year while the state seeks other funding to meet constitutional duties to fund education and other services and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meaningful, fair, and predictable economic incentive should be created to stimulate the redevelopment of vacant or underdeveloped property in targeted urban areas through a limited tax expenditure as provided by this chapter; and</w:t>
      </w:r>
    </w:p>
    <w:p>
      <w:pPr>
        <w:spacing w:before="0" w:after="0" w:line="408" w:lineRule="exact"/>
        <w:ind w:left="0" w:right="0" w:firstLine="576"/>
        <w:jc w:val="left"/>
      </w:pPr>
      <w:r>
        <w:rPr/>
        <w:t xml:space="preserve">(2) This limited tax expenditure should help the owners of vacant or undeveloped property achieve the highest and best use of land and enable cities to more fully realize their planning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vacant or undeveloped land in targeted urban areas, thereby increasing employment opportunities for family living wage jobs and helping accomplish the planning goals of Washington cities. The legislative authorities of cities to which this chapter applies may authorize an ad valorem tax expenditure for the value of new construction within the city if the legislative authority of the city finds that there are both significant areas of vacant or undeveloped land and insufficient family living wage jobs for its wage earning population in areas proximate to the vacant or undeveloped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first-class city with a population of at least one hundred fifty thousand and not more than two hundred fifty thousand.</w:t>
      </w:r>
    </w:p>
    <w:p>
      <w:pPr>
        <w:spacing w:before="0" w:after="0" w:line="408" w:lineRule="exact"/>
        <w:ind w:left="0" w:right="0" w:firstLine="576"/>
        <w:jc w:val="left"/>
      </w:pPr>
      <w:r>
        <w:rPr/>
        <w:t xml:space="preserve">(2) "Family living wage job" means a job with an average wage of twenty-one dollars an hour or more, working two thousand eighty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having jurisdiction over the property for which an expenditure may be applied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"Owner" means the property owner of record.</w:t>
      </w:r>
    </w:p>
    <w:p>
      <w:pPr>
        <w:spacing w:before="0" w:after="0" w:line="408" w:lineRule="exact"/>
        <w:ind w:left="0" w:right="0" w:firstLine="576"/>
        <w:jc w:val="left"/>
      </w:pPr>
      <w:r>
        <w:rPr/>
        <w:t xml:space="preserve">(6) "Vacant or undeveloped" means property within a downtown urban core with no existing habitable building improvements which is targeted for new or expanded industrial, residential, commercial, or manufacturing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value of new construction qualifying under this chapter is exempt from property taxation, except taxes levied by the state and school districts, for a period of ten successive years beginning January 1st of the year immediately following the calendar year of issuance of the certificate.</w:t>
      </w:r>
    </w:p>
    <w:p>
      <w:pPr>
        <w:spacing w:before="0" w:after="0" w:line="408" w:lineRule="exact"/>
        <w:ind w:left="0" w:right="0" w:firstLine="576"/>
        <w:jc w:val="left"/>
      </w:pPr>
      <w:r>
        <w:rPr/>
        <w:t xml:space="preserve">(b) The expenditure provided in this section does not apply to the value of the land.</w:t>
      </w:r>
    </w:p>
    <w:p>
      <w:pPr>
        <w:spacing w:before="0" w:after="0" w:line="408" w:lineRule="exact"/>
        <w:ind w:left="0" w:right="0" w:firstLine="576"/>
        <w:jc w:val="left"/>
      </w:pPr>
      <w:r>
        <w:rPr/>
        <w:t xml:space="preserve">(2) The expenditure provided in this section is in addition to any other expenditures, deferrals, credits, grants, or other tax expenditures provided by law; provided, that the expenditure provided in this section is not available for properties exempt under the multiple family tax exemption pursuant to chapter 84.14 RCW.</w:t>
      </w:r>
    </w:p>
    <w:p>
      <w:pPr>
        <w:spacing w:before="0" w:after="0" w:line="408" w:lineRule="exact"/>
        <w:ind w:left="0" w:right="0" w:firstLine="576"/>
        <w:jc w:val="left"/>
      </w:pPr>
      <w:r>
        <w:rPr/>
        <w:t xml:space="preserve">(3) This chapter does not apply to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Upon the expiration of the expenditure period, or upon termination of the expenditure, the cost of new construction and improvements to the property not previously considered as new construction during the expenditure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property tax expenditure program under this chapter, the governing authority must adopt a resolution of intention to create a property tax expenditure program as generally described in the resolution. The resolution must state the time and place of a hearing to be held by the governing authority to consider the creation of the property tax expenditure program and may include such other information pertaining to the creation of the expenditure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a tax expenditure under this chapter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expenditure including information indicated on the application form or in the guidelines;</w:t>
      </w:r>
    </w:p>
    <w:p>
      <w:pPr>
        <w:spacing w:before="0" w:after="0" w:line="408" w:lineRule="exact"/>
        <w:ind w:left="0" w:right="0" w:firstLine="576"/>
        <w:jc w:val="left"/>
      </w:pPr>
      <w:r>
        <w:rPr/>
        <w:t xml:space="preserve">(b) A description of the project and site plan, and other information requested;</w:t>
      </w:r>
    </w:p>
    <w:p>
      <w:pPr>
        <w:spacing w:before="0" w:after="0" w:line="408" w:lineRule="exact"/>
        <w:ind w:left="0" w:right="0" w:firstLine="576"/>
        <w:jc w:val="left"/>
      </w:pPr>
      <w:r>
        <w:rPr/>
        <w:t xml:space="preserve">(c) A statement of the expected number of new family living wage jobs to be created;</w:t>
      </w:r>
    </w:p>
    <w:p>
      <w:pPr>
        <w:spacing w:before="0" w:after="0" w:line="408" w:lineRule="exact"/>
        <w:ind w:left="0" w:right="0" w:firstLine="576"/>
        <w:jc w:val="left"/>
      </w:pPr>
      <w:r>
        <w:rPr/>
        <w:t xml:space="preserve">(d) A statement that the applicant is aware of the potential tax liability involved when the property ceases to be eligible for the expenditure provided under this chapter;</w:t>
      </w:r>
    </w:p>
    <w:p>
      <w:pPr>
        <w:spacing w:before="0" w:after="0" w:line="408" w:lineRule="exact"/>
        <w:ind w:left="0" w:right="0" w:firstLine="576"/>
        <w:jc w:val="left"/>
      </w:pPr>
      <w:r>
        <w:rPr/>
        <w:t xml:space="preserve">(e) A statement that the applicant is aware that the new construction must be completed within three years from the date of approval of the application; and</w:t>
      </w:r>
    </w:p>
    <w:p>
      <w:pPr>
        <w:spacing w:before="0" w:after="0" w:line="408" w:lineRule="exact"/>
        <w:ind w:left="0" w:right="0" w:firstLine="576"/>
        <w:jc w:val="left"/>
      </w:pPr>
      <w:r>
        <w:rPr/>
        <w:t xml:space="preserve">(f) A statement that the applicant would not have built in this location but for the availability of the tax expenditure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A minimum of five new family living wage jobs will be created on the subject site as a result of new construction within one year of issuance of a certificate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new construction will occur on land which is vacant or undeveloped;</w:t>
      </w:r>
    </w:p>
    <w:p>
      <w:pPr>
        <w:spacing w:before="0" w:after="0" w:line="408" w:lineRule="exact"/>
        <w:ind w:left="0" w:right="0" w:firstLine="576"/>
        <w:jc w:val="left"/>
      </w:pPr>
      <w:r>
        <w:rPr/>
        <w:t xml:space="preserve">(4) The area where the new construction will occur is located within an area primarily zoned for mixed use, commercial, or industrial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w:t>
      </w:r>
    </w:p>
    <w:p>
      <w:pPr>
        <w:spacing w:before="0" w:after="0" w:line="408" w:lineRule="exact"/>
        <w:ind w:left="0" w:right="0" w:firstLine="576"/>
        <w:jc w:val="left"/>
      </w:pPr>
      <w:r>
        <w:rPr/>
        <w:t xml:space="preserve">(6) The general contractor overseeing the new construction meets the responsibility criteria required of responsible bidders in RCW 39.04.350(1) and pays the prevailing rate of wage as defined in RCW 39.12.010(1); and</w:t>
      </w:r>
    </w:p>
    <w:p>
      <w:pPr>
        <w:spacing w:before="0" w:after="0" w:line="408" w:lineRule="exact"/>
        <w:ind w:left="0" w:right="0" w:firstLine="576"/>
        <w:jc w:val="left"/>
      </w:pPr>
      <w:r>
        <w:rPr/>
        <w:t xml:space="preserve">(7)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expenditure. The certificate must contain a statement by a duly authorized administrative official of the governing authority that the property has complied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thirty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expenditure is filed. If the application is approved, the governing authority of the city must pay the application fee to the county assessor for deposit in the county current expense fund, after first deducting that portion of the fee attributable to its own administrative costs in processing the application. If the application is denied, the city's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the new construction for which an application for a tax expenditure under this chapter has been approved and issued a certificate of occupancy, the owner must file with the city the following:</w:t>
      </w:r>
    </w:p>
    <w:p>
      <w:pPr>
        <w:spacing w:before="0" w:after="0" w:line="408" w:lineRule="exact"/>
        <w:ind w:left="0" w:right="0" w:firstLine="576"/>
        <w:jc w:val="left"/>
      </w:pPr>
      <w:r>
        <w:rPr/>
        <w:t xml:space="preserve">(a) A description of the work that has been completed and a statement that the new construction on the owner's property qualifies the property for an expenditure under this chapter;</w:t>
      </w:r>
    </w:p>
    <w:p>
      <w:pPr>
        <w:spacing w:before="0" w:after="0" w:line="408" w:lineRule="exact"/>
        <w:ind w:left="0" w:right="0" w:firstLine="576"/>
        <w:jc w:val="left"/>
      </w:pPr>
      <w:r>
        <w:rPr/>
        <w:t xml:space="preserve">(b) A statement of the new family living wage jobs to be offered as a result of the new construction; and</w:t>
      </w:r>
    </w:p>
    <w:p>
      <w:pPr>
        <w:spacing w:before="0" w:after="0" w:line="408" w:lineRule="exact"/>
        <w:ind w:left="0" w:right="0" w:firstLine="576"/>
        <w:jc w:val="left"/>
      </w:pPr>
      <w:r>
        <w:rPr/>
        <w:t xml:space="preserve">(c) A statement that the work has been completed within three years of the issuance of the conditional certificate of tax expenditure</w:t>
      </w:r>
    </w:p>
    <w:p>
      <w:pPr>
        <w:spacing w:before="0" w:after="0" w:line="408" w:lineRule="exact"/>
        <w:ind w:left="0" w:right="0" w:firstLine="576"/>
        <w:jc w:val="left"/>
      </w:pPr>
      <w:r>
        <w:rPr/>
        <w:t xml:space="preserve">(2) Within thirty days after receipt of the statements required under subsection (1) of this section, the city must determine whether the work completed and the jobs to be offered are consistent with the application and the contract approved by the city and whether the application is qualified for a tax expenditure under this chapter.</w:t>
      </w:r>
    </w:p>
    <w:p>
      <w:pPr>
        <w:spacing w:before="0" w:after="0" w:line="408" w:lineRule="exact"/>
        <w:ind w:left="0" w:right="0" w:firstLine="576"/>
        <w:jc w:val="left"/>
      </w:pPr>
      <w:r>
        <w:rPr/>
        <w:t xml:space="preserve">(3) If the criteria of this chapter have been satisfied and the owner's property is qualified for a tax expenditure under this chapter, the city must file the certificate of tax expenditure with the county assessor within ten days of the expiration of the thirty-day period provided under subsection (2) of this section.</w:t>
      </w:r>
    </w:p>
    <w:p>
      <w:pPr>
        <w:spacing w:before="0" w:after="0" w:line="408" w:lineRule="exact"/>
        <w:ind w:left="0" w:right="0" w:firstLine="576"/>
        <w:jc w:val="left"/>
      </w:pPr>
      <w:r>
        <w:rPr/>
        <w:t xml:space="preserve">(4) The city must notify the applicant that a certificate of tax expenditure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jobs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an expenditure under this chapter.</w:t>
      </w:r>
    </w:p>
    <w:p>
      <w:pPr>
        <w:spacing w:before="0" w:after="0" w:line="408" w:lineRule="exact"/>
        <w:ind w:left="0" w:right="0" w:firstLine="576"/>
        <w:jc w:val="left"/>
      </w:pPr>
      <w:r>
        <w:rPr/>
        <w:t xml:space="preserve">(5) If the city finds that the work was not completed within the required time period due to circumstances beyond the control of the owner and that the owner has been acting and could reasonably be expected to act in good faith and with due diligence, the governing authority may extend the deadline for completion of the work for a period not to exceed twenty-four consecutive months.</w:t>
      </w:r>
    </w:p>
    <w:p>
      <w:pPr>
        <w:spacing w:before="0" w:after="0" w:line="408" w:lineRule="exact"/>
        <w:ind w:left="0" w:right="0" w:firstLine="576"/>
        <w:jc w:val="left"/>
      </w:pPr>
      <w:r>
        <w:rPr/>
        <w:t xml:space="preserve">(6) The city's governing authority may enact an ordinance to provide a process for an owner to appeal a decision by the city that the owner is not entitled to a certificate of tax expenditure to the city. The owner may appeal a decision by the city to deny a certificate of tax expenditure in superior court under RCW 34.05.510 through 34.05.598, if the appeal is filed within thirty days of notification by the city to the owner of the expenditure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expenditure and each year for the tax expenditure period, the owner of the new construction must file with a designated authorized representative of the city an annual report indicating the following:</w:t>
      </w:r>
    </w:p>
    <w:p>
      <w:pPr>
        <w:spacing w:before="0" w:after="0" w:line="408" w:lineRule="exact"/>
        <w:ind w:left="0" w:right="0" w:firstLine="576"/>
        <w:jc w:val="left"/>
      </w:pPr>
      <w:r>
        <w:rPr/>
        <w:t xml:space="preserve">(a) A statement of the family living wage jobs at the facility as of the anniversary date;</w:t>
      </w:r>
    </w:p>
    <w:p>
      <w:pPr>
        <w:spacing w:before="0" w:after="0" w:line="408" w:lineRule="exact"/>
        <w:ind w:left="0" w:right="0" w:firstLine="576"/>
        <w:jc w:val="left"/>
      </w:pPr>
      <w:r>
        <w:rPr/>
        <w:t xml:space="preserve">(b) A certification by the owner that the property has not changed use;</w:t>
      </w:r>
    </w:p>
    <w:p>
      <w:pPr>
        <w:spacing w:before="0" w:after="0" w:line="408" w:lineRule="exact"/>
        <w:ind w:left="0" w:right="0" w:firstLine="576"/>
        <w:jc w:val="left"/>
      </w:pPr>
      <w:r>
        <w:rPr/>
        <w:t xml:space="preserve">(c) A description of changes or improvements constructed after issuance of the certificate of tax expenditure;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A city that issues a certificate of tax expenditure under this chapter must report annually by December 31st of each year, beginning in 2019, to the department of commerce. The report must include the following information:</w:t>
      </w:r>
    </w:p>
    <w:p>
      <w:pPr>
        <w:spacing w:before="0" w:after="0" w:line="408" w:lineRule="exact"/>
        <w:ind w:left="0" w:right="0" w:firstLine="576"/>
        <w:jc w:val="left"/>
      </w:pPr>
      <w:r>
        <w:rPr/>
        <w:t xml:space="preserve">(a) The number of tax expenditure certificates granted;</w:t>
      </w:r>
    </w:p>
    <w:p>
      <w:pPr>
        <w:spacing w:before="0" w:after="0" w:line="408" w:lineRule="exact"/>
        <w:ind w:left="0" w:right="0" w:firstLine="576"/>
        <w:jc w:val="left"/>
      </w:pPr>
      <w:r>
        <w:rPr/>
        <w:t xml:space="preserve">(b) The total number and type of new buildings constructed;</w:t>
      </w:r>
    </w:p>
    <w:p>
      <w:pPr>
        <w:spacing w:before="0" w:after="0" w:line="408" w:lineRule="exact"/>
        <w:ind w:left="0" w:right="0" w:firstLine="576"/>
        <w:jc w:val="left"/>
      </w:pPr>
      <w:r>
        <w:rPr/>
        <w:t xml:space="preserve">(c) The number of family living wage jobs resulting from the changes or improvements constructed after issuance of the certificate of tax expenditure;</w:t>
      </w:r>
    </w:p>
    <w:p>
      <w:pPr>
        <w:spacing w:before="0" w:after="0" w:line="408" w:lineRule="exact"/>
        <w:ind w:left="0" w:right="0" w:firstLine="576"/>
        <w:jc w:val="left"/>
      </w:pPr>
      <w:r>
        <w:rPr/>
        <w:t xml:space="preserve">(d) The number of family living wage jobs created after completion of the project; and</w:t>
      </w:r>
    </w:p>
    <w:p>
      <w:pPr>
        <w:spacing w:before="0" w:after="0" w:line="408" w:lineRule="exact"/>
        <w:ind w:left="0" w:right="0" w:firstLine="576"/>
        <w:jc w:val="left"/>
      </w:pPr>
      <w:r>
        <w:rPr/>
        <w:t xml:space="preserve">(e) The value of the tax expenditure for each project receiving a tax expenditure and the total value of tax expenditures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 living wage job creation.</w:t>
      </w:r>
    </w:p>
    <w:p>
      <w:pPr>
        <w:spacing w:before="0" w:after="0" w:line="408" w:lineRule="exact"/>
        <w:ind w:left="0" w:right="0" w:firstLine="576"/>
        <w:jc w:val="left"/>
      </w:pPr>
      <w:r>
        <w:rPr/>
        <w:t xml:space="preserve">(2) If an owner voluntarily opts to discontinue compliance with the requirements of this chapter, the owner must notify the assessor within sixty days of the change in use or intended discontinuance.</w:t>
      </w:r>
    </w:p>
    <w:p>
      <w:pPr>
        <w:spacing w:before="0" w:after="0" w:line="408" w:lineRule="exact"/>
        <w:ind w:left="0" w:right="0" w:firstLine="576"/>
        <w:jc w:val="left"/>
      </w:pPr>
      <w:r>
        <w:rPr/>
        <w:t xml:space="preserve">(3) If, after a certificate of tax expenditure has been filed with the county assessor, the city discovers that a portion of the property is changed or will be changed to disqualify the owner for expenditure eligibility under this chapter, the tax expenditure must be terminated and the following occurs:</w:t>
      </w:r>
    </w:p>
    <w:p>
      <w:pPr>
        <w:spacing w:before="0" w:after="0" w:line="408" w:lineRule="exact"/>
        <w:ind w:left="0" w:right="0" w:firstLine="576"/>
        <w:jc w:val="left"/>
      </w:pPr>
      <w:r>
        <w:rPr/>
        <w:t xml:space="preserve">(a) Additional real property tax must be imposed on the value of the nonqualifying improvements in the amount that would be imposed if an expenditure had not been available under this chapter, plus a penalty equal to twenty percent of the additional tax due.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w:t>
      </w:r>
    </w:p>
    <w:p>
      <w:pPr>
        <w:spacing w:before="0" w:after="0" w:line="408" w:lineRule="exact"/>
        <w:ind w:left="0" w:right="0" w:firstLine="576"/>
        <w:jc w:val="left"/>
      </w:pPr>
      <w:r>
        <w:rPr/>
        <w:t xml:space="preserve">(c) The additional tax, interest, and penalty are due in full thirty days following the date on which the treasurer's statement of additional tax due is issued. The additional tax must be distributed by the county treasurer in the same manner in which current property taxes applicable to the subject property are distributed; and</w:t>
      </w:r>
    </w:p>
    <w:p>
      <w:pPr>
        <w:spacing w:before="0" w:after="0" w:line="408" w:lineRule="exact"/>
        <w:ind w:left="0" w:right="0" w:firstLine="576"/>
        <w:jc w:val="left"/>
      </w:pPr>
      <w:r>
        <w:rPr/>
        <w:t xml:space="preserve">(d) The additional tax owed together with interest and penalty becomes a lien on the property and attaches at the time the property or portion of the property is removed from the qualifying use under this chapter or the amenities no longer meet the applicable requirements for expenditures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spacing w:before="0" w:after="0" w:line="408" w:lineRule="exact"/>
        <w:ind w:left="0" w:right="0" w:firstLine="576"/>
        <w:jc w:val="left"/>
      </w:pPr>
      <w:r>
        <w:rPr/>
        <w:t xml:space="preserve">(4) Upon a determination that a tax expenditure is to be terminated for a reason stated in this section, the city's governing authority must notify the county assessor and record owner of the property as shown by the tax rolls by mail, return receipt requested, of the determination to terminate the expenditure. The owner may appeal the determination to the city, within thirty days by filing a notice of appeal with the city,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expenditure based on the evidence received. An aggrieved party may appeal the decision of the deciding body or officer to the superior court as provided in RCW 34.05.510 through 34.05.598.</w:t>
      </w:r>
    </w:p>
    <w:p>
      <w:pPr>
        <w:spacing w:before="0" w:after="0" w:line="408" w:lineRule="exact"/>
        <w:ind w:left="0" w:right="0" w:firstLine="576"/>
        <w:jc w:val="left"/>
      </w:pPr>
      <w:r>
        <w:rPr/>
        <w:t xml:space="preserve">(5) Upon determination by the city to terminate an expenditure,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cost of the new construction and improvements to the property, not previously considered as new construction during the exempt period, must be considered as new construction for purposes of calculating levies under chapter 84.55 RCW. The owner may appeal the valuation to the county board of equalization as provided in chapter 84.48 RCW, and according to the provisions of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35d319802414c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54aeb88c9c4fe6" /><Relationship Type="http://schemas.openxmlformats.org/officeDocument/2006/relationships/footer" Target="/word/footer.xml" Id="Rf35d319802414c64" /></Relationships>
</file>