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410d5d3184592" /></Relationships>
</file>

<file path=word/document.xml><?xml version="1.0" encoding="utf-8"?>
<w:document xmlns:w="http://schemas.openxmlformats.org/wordprocessingml/2006/main">
  <w:body>
    <w:p>
      <w:r>
        <w:t>S-4950.1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6389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Senate Ways &amp; Means (originally sponsored by Senators Zeiger, Hobbs, Wellman, and Hasegawa)</w:t>
      </w:r>
    </w:p>
    <w:p/>
    <w:p>
      <w:r>
        <w:rPr>
          <w:t xml:space="preserve">READ FIRST TIME 02/06/18.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career and technical education in alternative learning experience programs; and amending RCW 28A.232.020.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232</w:t>
      </w:r>
      <w:r>
        <w:rPr/>
        <w:t xml:space="preserve">.</w:t>
      </w:r>
      <w:r>
        <w:t xml:space="preserve">020</w:t>
      </w:r>
      <w:r>
        <w:rPr/>
        <w:t xml:space="preserve"> and 2013 2nd sp.s. c 18 s 503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The superintendent of public instruction shall separately calculate and allocate moneys appropriated under RCW 28A.150.260 to school districts for each full-time equivalent student enrolled in an alternative learning experience course. The calculation shall be based on the estimated statewide annual average allocation per full-time equivalent student in grades nine through twelve in general education, excluding small high school enhancements, and including applicable rules and provisions of the omnibus appropriations act.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In addition to the allocation provided under subsection (1) of this section, if the course is a vocational alternative learning experience course and is a site-based course as defined in RCW 28A.232.010, then the allocated state funding shall also include vocational program funding enhancements, subject to RCW 28A.150.265.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5e00e1cd0b14a20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6389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8f3801ace34b4a" /><Relationship Type="http://schemas.openxmlformats.org/officeDocument/2006/relationships/footer" Target="/word/footer.xml" Id="Ra5e00e1cd0b14a20" /></Relationships>
</file>