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f2ff531a9c453a" /></Relationships>
</file>

<file path=word/document.xml><?xml version="1.0" encoding="utf-8"?>
<w:document xmlns:w="http://schemas.openxmlformats.org/wordprocessingml/2006/main">
  <w:body>
    <w:p>
      <w:r>
        <w:t>S-4840.2</w:t>
      </w:r>
    </w:p>
    <w:p>
      <w:pPr>
        <w:jc w:val="center"/>
      </w:pPr>
      <w:r>
        <w:t>_______________________________________________</w:t>
      </w:r>
    </w:p>
    <w:p/>
    <w:p>
      <w:pPr>
        <w:jc w:val="center"/>
      </w:pPr>
      <w:r>
        <w:rPr>
          <w:b/>
        </w:rPr>
        <w:t>SECOND SUBSTITUTE SENATE BILL 6410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 Padden)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safety; amending RCW 28A.320.125; adding a new section to chapter 28A.310 RCW; creating a new section; and repealing RCW 28A.310.505.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2017 c 165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provided by the superintendent of public instruction, including the comprehensive school safety checklist and the model comprehensive safe school plans that include prevention, intervention, all hazard/crisis response, and postcrisis recovery, when developing their own individual comprehensive safe school plans. Each school district shall adopt, no later than September 1, 2008,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Washington state office of the superintendent of public instruction school safety center and the school safety center advisory committee;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To the extent funds are available, school districts shall annually record and report on the information and activities required in subsection (3) of this section to the Washington association of sheriffs and police chiefs.</w:t>
      </w:r>
    </w:p>
    <w:p>
      <w:pPr>
        <w:spacing w:before="0" w:after="0" w:line="408" w:lineRule="exact"/>
        <w:ind w:left="0" w:right="0" w:firstLine="576"/>
        <w:jc w:val="left"/>
      </w:pPr>
      <w:r>
        <w:rPr/>
        <w:t xml:space="preserve">(5)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(6)(a)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Use of the school mapping information system in at least one of the safety-related drills; and</w:t>
      </w:r>
    </w:p>
    <w:p>
      <w:pPr>
        <w:spacing w:before="0" w:after="0" w:line="408" w:lineRule="exact"/>
        <w:ind w:left="0" w:right="0" w:firstLine="576"/>
        <w:jc w:val="left"/>
      </w:pPr>
      <w:r>
        <w:rPr/>
        <w:t xml:space="preserve">(ii) A pedestrian evacuation drill for schools in mapped tsunami hazard zones.</w:t>
      </w:r>
    </w:p>
    <w:p>
      <w:pPr>
        <w:spacing w:before="0" w:after="0" w:line="408" w:lineRule="exact"/>
        <w:ind w:left="0" w:right="0" w:firstLine="576"/>
        <w:jc w:val="left"/>
      </w:pPr>
      <w:r>
        <w:rPr/>
        <w:t xml:space="preserve">(d) The drills described in (b) of this subsection may incorporate an earthquake drill using the state-approved earthquake safety technique "drop, cover, and hold."</w:t>
      </w:r>
    </w:p>
    <w:p>
      <w:pPr>
        <w:spacing w:before="0" w:after="0" w:line="408" w:lineRule="exact"/>
        <w:ind w:left="0" w:right="0" w:firstLine="576"/>
        <w:jc w:val="left"/>
      </w:pPr>
      <w:r>
        <w:rPr/>
        <w:t xml:space="preserve">(e) Schools shall document the date, time, and type (shelter-in-place, lockdown, or evacuate) of each drill required under this subsection (6), and maintain the documentation in the school office.</w:t>
      </w:r>
    </w:p>
    <w:p>
      <w:pPr>
        <w:spacing w:before="0" w:after="0" w:line="408" w:lineRule="exact"/>
        <w:ind w:left="0" w:right="0" w:firstLine="576"/>
        <w:jc w:val="left"/>
      </w:pPr>
      <w:r>
        <w:rPr/>
        <w:t xml:space="preserve">(f) This subsection (6) is intended to satisfy all federal requirements for comprehensive school emergency drills and evacuations.</w:t>
      </w:r>
    </w:p>
    <w:p>
      <w:pPr>
        <w:spacing w:before="0" w:after="0" w:line="408" w:lineRule="exact"/>
        <w:ind w:left="0" w:right="0" w:firstLine="576"/>
        <w:jc w:val="left"/>
      </w:pPr>
      <w:r>
        <w:rPr/>
        <w:t xml:space="preserve">(7)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(8)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rPr>
          <w:u w:val="single"/>
        </w:rPr>
        <w:t xml:space="preserve">(9)(a) Whenever a first responder agency notifies a school of a situation which may necessitate an evacuation or lockdown, the agency must also determine if other schools in the vicinity are similarly threatened and must notify every other school in the vicinity for which an evacuation or lockdown appears reasonably necessary. For purposes of this subsection, "school" includes a private school under chapter 28A.195 RCW.</w:t>
      </w:r>
    </w:p>
    <w:p>
      <w:pPr>
        <w:spacing w:before="0" w:after="0" w:line="408" w:lineRule="exact"/>
        <w:ind w:left="0" w:right="0" w:firstLine="576"/>
        <w:jc w:val="left"/>
      </w:pPr>
      <w:r>
        <w:rPr>
          <w:u w:val="single"/>
        </w:rPr>
        <w:t xml:space="preserve">(b) A first responder agency and its officers, agents, and employees are not liable for any act, or failure to act, under this subsection unless a first responder agency and its officers, agents, and employees acted with willful disregard.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two educational service districts, selected by the office of the superintendent of public instruction in coordination with the nine educational service districts, must establish regional school safety centers as part of a statewide network, and as required under this section. One of the regional school safety centers must be located east of the crest of the Cascade mountains, and one of the regional school safety centers must be located west of the crest of the Cascade mountains.</w:t>
      </w:r>
    </w:p>
    <w:p>
      <w:pPr>
        <w:spacing w:before="0" w:after="0" w:line="408" w:lineRule="exact"/>
        <w:ind w:left="0" w:right="0" w:firstLine="576"/>
        <w:jc w:val="left"/>
      </w:pPr>
      <w:r>
        <w:rPr/>
        <w:t xml:space="preserve">(2) The purpose of this statewide network is to provide regional coordination of school safety efforts related to behavioral health threat assessment and suicide prevention across the state and to provide school safety resources related to behavioral health threat assessment and suicide prevention to the school districts in the region.</w:t>
      </w:r>
    </w:p>
    <w:p>
      <w:pPr>
        <w:spacing w:before="0" w:after="0" w:line="408" w:lineRule="exact"/>
        <w:ind w:left="0" w:right="0" w:firstLine="576"/>
        <w:jc w:val="left"/>
      </w:pPr>
      <w:r>
        <w:rPr/>
        <w:t xml:space="preserve">(3) The regional school safety centers must consult with the state school safety center within the office of the superintendent of public instruction in order to unify discussions around safety across the state.</w:t>
      </w:r>
    </w:p>
    <w:p>
      <w:pPr>
        <w:spacing w:before="0" w:after="0" w:line="408" w:lineRule="exact"/>
        <w:ind w:left="0" w:right="0" w:firstLine="576"/>
        <w:jc w:val="left"/>
      </w:pPr>
      <w:r>
        <w:rPr/>
        <w:t xml:space="preserve">(4) For the purpose of implementing regional school safety centers, the two selected educational service districts must employ a behavioral health threat assessment coordinator.</w:t>
      </w:r>
    </w:p>
    <w:p>
      <w:pPr>
        <w:spacing w:before="0" w:after="0" w:line="408" w:lineRule="exact"/>
        <w:ind w:left="0" w:right="0" w:firstLine="576"/>
        <w:jc w:val="left"/>
      </w:pPr>
      <w:r>
        <w:rPr/>
        <w:t xml:space="preserve">(5) Private schools under chapter 28A.195 RCW may contract with regional school safety centers for school safety resources and services.</w:t>
      </w:r>
    </w:p>
    <w:p>
      <w:pPr>
        <w:spacing w:before="0" w:after="0" w:line="408" w:lineRule="exact"/>
        <w:ind w:left="0" w:right="0" w:firstLine="576"/>
        <w:jc w:val="left"/>
      </w:pPr>
      <w:r>
        <w:rPr/>
        <w:t xml:space="preserve">(6) The regional school safety centers must provide technical assistance to school districts seeking funding for first aid, health, and safety and security resources including defibrillators and saws with automatic braking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8A.</w:t>
      </w:r>
      <w:r>
        <w:t xml:space="preserve">310</w:t>
      </w:r>
      <w:r>
        <w:rPr/>
        <w:t xml:space="preserve">.</w:t>
      </w:r>
      <w:r>
        <w:t xml:space="preserve">505</w:t>
      </w:r>
      <w:r>
        <w:rPr/>
        <w:t xml:space="preserve"> (Regional school safety and security programs) and 2016 c 240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 of this act, referencing this act by bill or chapter number, is not provided by March 8, 2018, in the supplemental omnibus appropriations act, sections 2 and 3 of this act are null and void.</w:t>
      </w:r>
    </w:p>
    <w:p/>
    <w:p>
      <w:pPr>
        <w:jc w:val="center"/>
      </w:pPr>
      <w:r>
        <w:rPr>
          <w:b/>
        </w:rPr>
        <w:t>--- END ---</w:t>
      </w:r>
    </w:p>
    <w:sectPr>
      <w:pgNumType w:start="1"/>
      <w:footerReference xmlns:r="http://schemas.openxmlformats.org/officeDocument/2006/relationships" r:id="R5bfe02ceda6a46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bc1dbae2c0487d" /><Relationship Type="http://schemas.openxmlformats.org/officeDocument/2006/relationships/footer" Target="/word/footer.xml" Id="R5bfe02ceda6a4674" /></Relationships>
</file>