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edccff50f41f4" /></Relationships>
</file>

<file path=word/document.xml><?xml version="1.0" encoding="utf-8"?>
<w:document xmlns:w="http://schemas.openxmlformats.org/wordprocessingml/2006/main">
  <w:body>
    <w:p>
      <w:r>
        <w:t>S-4464.1</w:t>
      </w:r>
    </w:p>
    <w:p>
      <w:pPr>
        <w:jc w:val="center"/>
      </w:pPr>
      <w:r>
        <w:t>_______________________________________________</w:t>
      </w:r>
    </w:p>
    <w:p/>
    <w:p>
      <w:pPr>
        <w:jc w:val="center"/>
      </w:pPr>
      <w:r>
        <w:rPr>
          <w:b/>
        </w:rPr>
        <w:t>SUBSTITUTE SENATE BILL 6449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Warnick and Palumbo; by request of Department of Commerce)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 6, 8, and 9, chapter . . ., Laws of 2018 (sections 4, 6, 8, and 9 of this act). The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production of renewable natural gas in Washington. It is the legislature's intent to reinstate and expand tax incentives for certain landfills and anaerobic digesters in order to stimulate investment in biogas capture and conditioning, compression, nutrient recovery, and use of renewable natural gas for heating, electricity generation, and transportation fuel.</w:t>
      </w:r>
    </w:p>
    <w:p>
      <w:pPr>
        <w:spacing w:before="0" w:after="0" w:line="408" w:lineRule="exact"/>
        <w:ind w:left="0" w:right="0" w:firstLine="576"/>
        <w:jc w:val="left"/>
      </w:pPr>
      <w:r>
        <w:rPr/>
        <w:t xml:space="preserve">(3) To measure the effectiveness of the tax preferences in sections 4, 6, 8, and 9, chapter . . ., Laws of 2018 (sections 4, 6, 8, and 9 of this act) in achieving the public policy objectives described in subsection (2) of this section, the joint legislative audit and review committee must evaluate the number of public and private landfills and anaerobic digesters producing renewable natural gas in the state and the extent to which they are utilizing these incentives.</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in consultation with the Washington utilities and transportation commission, must submit recommendations to the governor's office and the energy committees of the legislature on how to promote the sustainable development of renewable natural gas in the state, including a detailed inventory of the practical opportunities and costs associated with renewable natural gas production in the state,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the department of health, and the Washington utilities and transportation commission, must explore development of voluntary gas quality standards for the injection of renewable natural gas into the natural gas pipeline system. The purpose of such standards should be to identify acceptable levels of constituents of concern for safety and environmental purposes, including ensuring pipeline integrity, while providing reasonable and predictable access to pipeline transmission and distribution facilities. The department of commerce must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produced by an anaerobic digester into marketable coproducts, including but not limited to biogas conditioning, compression,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2436390337245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431a6e310f4f42" /><Relationship Type="http://schemas.openxmlformats.org/officeDocument/2006/relationships/footer" Target="/word/footer.xml" Id="R824363903372457d" /></Relationships>
</file>