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f555b57944308" /></Relationships>
</file>

<file path=word/document.xml><?xml version="1.0" encoding="utf-8"?>
<w:document xmlns:w="http://schemas.openxmlformats.org/wordprocessingml/2006/main">
  <w:body>
    <w:p>
      <w:r>
        <w:t>S-3299.1</w:t>
      </w:r>
    </w:p>
    <w:p>
      <w:pPr>
        <w:jc w:val="center"/>
      </w:pPr>
      <w:r>
        <w:t>_______________________________________________</w:t>
      </w:r>
    </w:p>
    <w:p/>
    <w:p>
      <w:pPr>
        <w:jc w:val="center"/>
      </w:pPr>
      <w:r>
        <w:rPr>
          <w:b/>
        </w:rPr>
        <w:t>SENATE BILL 6475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Hobbs, Palumbo, King, Wagoner, McCoy, and Liias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transit authority property taxes imposed on less than a whole parcel; amending RCW 81.104.175; adding a new section to chapter 84.56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175</w:t>
      </w:r>
      <w:r>
        <w:rPr/>
        <w:t xml:space="preserve"> and 2015 3rd sp.s. c 44 s 321 are each amended to read as follows:</w:t>
      </w:r>
    </w:p>
    <w:p>
      <w:pPr>
        <w:spacing w:before="0" w:after="0" w:line="408" w:lineRule="exact"/>
        <w:ind w:left="0" w:right="0" w:firstLine="576"/>
        <w:jc w:val="left"/>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0" w:after="0" w:line="408" w:lineRule="exact"/>
        <w:ind w:left="0" w:right="0" w:firstLine="576"/>
        <w:jc w:val="left"/>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0" w:after="0" w:line="408" w:lineRule="exact"/>
        <w:ind w:left="0" w:right="0" w:firstLine="576"/>
        <w:jc w:val="left"/>
      </w:pPr>
      <w:r>
        <w:rPr>
          <w:u w:val="single"/>
        </w:rPr>
        <w:t xml:space="preserve">(7) Property taxes imposed under this section may not be imposed on less than a whole parcel.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county treasurer must waive interest and penalties for delinquencies on property taxes imposed by a regional transit authority under RCW 81.104.175 and collected before June 30, 2018, if the property is exempted from such tax under this act.</w:t>
      </w:r>
    </w:p>
    <w:p>
      <w:pPr>
        <w:spacing w:before="0" w:after="0" w:line="408" w:lineRule="exact"/>
        <w:ind w:left="0" w:right="0" w:firstLine="576"/>
        <w:jc w:val="left"/>
      </w:pPr>
      <w:r>
        <w:rPr/>
        <w:t xml:space="preserve">(2)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November 1, 2016, as well as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093b748920546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c22d0663144901" /><Relationship Type="http://schemas.openxmlformats.org/officeDocument/2006/relationships/footer" Target="/word/footer.xml" Id="Rd093b748920546d2" /></Relationships>
</file>