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945efff7e54f1f" /></Relationships>
</file>

<file path=word/document.xml><?xml version="1.0" encoding="utf-8"?>
<w:document xmlns:w="http://schemas.openxmlformats.org/wordprocessingml/2006/main">
  <w:body>
    <w:p>
      <w:r>
        <w:t>S-4600.2</w:t>
      </w:r>
    </w:p>
    <w:p>
      <w:pPr>
        <w:jc w:val="center"/>
      </w:pPr>
      <w:r>
        <w:t>_______________________________________________</w:t>
      </w:r>
    </w:p>
    <w:p/>
    <w:p>
      <w:pPr>
        <w:jc w:val="center"/>
      </w:pPr>
      <w:r>
        <w:rPr>
          <w:b/>
        </w:rPr>
        <w:t>SUBSTITUTE SENATE BILL 6489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Saldaña, Hobbs, King, Sheldon, Schoesler, and Padden)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baseball stadium based special license plate; reenacting and amending RCW 46.17.220, 46.18.200, and 46.68.420; adding a new section to chapter 28A.300 RCW; repealing RCW 46.18.215;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t>((</w:t>
      </w:r>
      <w:r>
        <w:rPr>
          <w:strike/>
        </w:rPr>
        <w:t xml:space="preserve">(1)</w:t>
      </w:r>
      <w:r>
        <w:t>))</w:t>
      </w:r>
      <w:r>
        <w:rPr/>
        <w:t xml:space="preserve">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w:t>
            </w:r>
            <w:r>
              <w:t>))</w:t>
            </w:r>
            <w:r>
              <w:rPr>
                <w:rFonts w:ascii="Times New Roman" w:hAnsi="Times New Roman"/>
                <w:sz w:val="16"/>
              </w:rPr>
              <w:t xml:space="preserve"> </w:t>
            </w:r>
            <w:r>
              <w:rPr>
                <w:rFonts w:ascii="Times New Roman" w:hAnsi="Times New Roman"/>
                <w:sz w:val="16"/>
                <w:u w:val="single"/>
              </w:rPr>
              <w:t xml:space="preserve">(1)</w:t>
            </w:r>
            <w:r>
              <w:rPr>
                <w:rFonts w:ascii="Times New Roman" w:hAnsi="Times New Roman"/>
                <w:sz w:val="16"/>
              </w:rPr>
              <w:t xml:space="preserve">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w:t>
            </w:r>
            <w:r>
              <w:t>))</w:t>
            </w:r>
            <w:r>
              <w:rPr>
                <w:rFonts w:ascii="Times New Roman" w:hAnsi="Times New Roman"/>
                <w:sz w:val="16"/>
              </w:rPr>
              <w:t xml:space="preserve"> </w:t>
            </w:r>
            <w:r>
              <w:rPr>
                <w:rFonts w:ascii="Times New Roman" w:hAnsi="Times New Roman"/>
                <w:sz w:val="16"/>
                <w:u w:val="single"/>
              </w:rPr>
              <w:t xml:space="preserve">(2)</w:t>
            </w:r>
            <w:r>
              <w:rPr>
                <w:rFonts w:ascii="Times New Roman" w:hAnsi="Times New Roman"/>
                <w:sz w:val="16"/>
              </w:rPr>
              <w:t xml:space="preserve">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w:t>
            </w:r>
            <w:r>
              <w:t>))</w:t>
            </w:r>
            <w:r>
              <w:rPr>
                <w:rFonts w:ascii="Times New Roman" w:hAnsi="Times New Roman"/>
                <w:sz w:val="16"/>
              </w:rPr>
              <w:t xml:space="preserve"> </w:t>
            </w:r>
            <w:r>
              <w:rPr>
                <w:rFonts w:ascii="Times New Roman" w:hAnsi="Times New Roman"/>
                <w:sz w:val="16"/>
                <w:u w:val="single"/>
              </w:rPr>
              <w:t xml:space="preserve">(3)</w:t>
            </w:r>
            <w:r>
              <w:rPr>
                <w:rFonts w:ascii="Times New Roman" w:hAnsi="Times New Roman"/>
                <w:sz w:val="16"/>
              </w:rPr>
              <w:t xml:space="preserve">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(4)</w:t>
            </w:r>
            <w:r>
              <w:rPr>
                <w:rFonts w:ascii="Times New Roman" w:hAnsi="Times New Roman"/>
                <w:sz w:val="16"/>
              </w:rPr>
              <w:t xml:space="preserv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(5)</w:t>
            </w:r>
            <w:r>
              <w:rPr>
                <w:rFonts w:ascii="Times New Roman" w:hAnsi="Times New Roman"/>
                <w:sz w:val="16"/>
              </w:rPr>
              <w:t xml:space="preserve">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(6)</w:t>
            </w:r>
            <w:r>
              <w:rPr>
                <w:rFonts w:ascii="Times New Roman" w:hAnsi="Times New Roman"/>
                <w:sz w:val="16"/>
              </w:rPr>
              <w:t xml:space="preserve">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(7)</w:t>
            </w:r>
            <w:r>
              <w:rPr>
                <w:rFonts w:ascii="Times New Roman" w:hAnsi="Times New Roman"/>
                <w:sz w:val="16"/>
              </w:rPr>
              <w:t xml:space="preserve">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(8)</w:t>
            </w:r>
            <w:r>
              <w:rPr>
                <w:rFonts w:ascii="Times New Roman" w:hAnsi="Times New Roman"/>
                <w:sz w:val="16"/>
              </w:rPr>
              <w:t xml:space="preserve">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(9)</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(10)</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(11)</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(13)</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(14)</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(17) 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(19) Seattle Mariners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t>((</w:t>
      </w:r>
      <w:r>
        <w:rPr>
          <w:strike/>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"Seattle Mariners"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academic, mentoring, and innovation grant account created in section 4 of this act</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ACADEMIC, MENTORING, AND INNOVATION GRANT ACCOUNT.</w:t>
      </w:r>
    </w:p>
    <w:p>
      <w:pPr>
        <w:spacing w:before="0" w:after="0" w:line="408" w:lineRule="exact"/>
        <w:ind w:left="0" w:right="0" w:firstLine="576"/>
        <w:jc w:val="left"/>
      </w:pPr>
      <w:r>
        <w:rPr/>
        <w:t xml:space="preserve">The academic, mentoring, and innovation grant account is created in the state treasury. All receipts from the special license plate fees in this act must be deposited into the account. Moneys in the account may be spent only after appropriation. Moneys in the account may only be used for grants to support youth to stay in school, participate in sports, and receive mentorships.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215</w:t>
      </w:r>
      <w:r>
        <w:rPr/>
        <w:t xml:space="preserve"> (Baseball stadium license plates) and 2011 c 332 s 3, 2010 c 161 s 614, 1997 c 291 s 5, 1995 3rd sp.s. c 1 s 102, 1994 c 194 s 2, &amp; 1990 c 250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f877b2d828ec4e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06721dc3bb4f98" /><Relationship Type="http://schemas.openxmlformats.org/officeDocument/2006/relationships/footer" Target="/word/footer.xml" Id="Rf877b2d828ec4ebd" /></Relationships>
</file>