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a36eacb9ee424e" /></Relationships>
</file>

<file path=word/document.xml><?xml version="1.0" encoding="utf-8"?>
<w:document xmlns:w="http://schemas.openxmlformats.org/wordprocessingml/2006/main">
  <w:body>
    <w:p>
      <w:r>
        <w:t>S-4561.1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SENATE BILL 6607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65th Legislature</w:t>
        <w:tab/>
      </w:r>
      <w:r>
        <w:rPr>
          <w:b/>
        </w:rPr>
        <w:t>2018 Regular Session</w:t>
      </w:r>
    </w:p>
    <w:p/>
    <w:p>
      <w:r>
        <w:rPr>
          <w:b/>
        </w:rPr>
        <w:t xml:space="preserve">By </w:t>
      </w:r>
      <w:r>
        <w:t>Senator Darneille</w:t>
      </w:r>
    </w:p>
    <w:p/>
    <w:p/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human services.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This act may be known and cited as the human services act.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f037ada31cb448e6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SB 6607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a3f4da84824cdb" /><Relationship Type="http://schemas.openxmlformats.org/officeDocument/2006/relationships/footer" Target="/word/footer.xml" Id="Rf037ada31cb448e6" /></Relationships>
</file>