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6c4e16721f491e" /></Relationships>
</file>

<file path=word/document.xml><?xml version="1.0" encoding="utf-8"?>
<w:document xmlns:w="http://schemas.openxmlformats.org/wordprocessingml/2006/main">
  <w:body>
    <w:p>
      <w:r>
        <w:t>S-0697.2</w:t>
      </w:r>
    </w:p>
    <w:p>
      <w:pPr>
        <w:jc w:val="center"/>
      </w:pPr>
      <w:r>
        <w:t>_______________________________________________</w:t>
      </w:r>
    </w:p>
    <w:p/>
    <w:p>
      <w:pPr>
        <w:jc w:val="center"/>
      </w:pPr>
      <w:r>
        <w:rPr>
          <w:b/>
        </w:rPr>
        <w:t>SENATE JOINT RESOLUTION 8204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Angel, Rossi, Bailey, Braun, Sheldon, Schoesler, Becker, Warnick, and Baumgartner</w:t>
      </w:r>
    </w:p>
    <w:p/>
    <w:p>
      <w:r>
        <w:rPr>
          <w:t xml:space="preserve">Read first time 01/27/17.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w:t>
      </w:r>
      <w:r>
        <w:rPr>
          <w:u w:val="single"/>
        </w:rPr>
        <w:t xml:space="preserve">(a)</w:t>
      </w:r>
      <w:r>
        <w:rPr/>
        <w:t xml:space="preserve">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Provided, That the legislature may tax mines and mineral resources and lands devoted to reforestation by either a yield tax or an ad valorem tax at such rate as it may fix, or by both.</w:t>
      </w:r>
    </w:p>
    <w:p>
      <w:pPr>
        <w:spacing w:before="0" w:after="0" w:line="408" w:lineRule="exact"/>
        <w:ind w:left="0" w:right="0" w:firstLine="576"/>
        <w:jc w:val="left"/>
      </w:pPr>
      <w:r>
        <w:rPr>
          <w:u w:val="single"/>
        </w:rPr>
        <w:t xml:space="preserve">(b)</w:t>
      </w:r>
      <w:r>
        <w:rPr/>
        <w:t xml:space="preserve">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w:t>
      </w:r>
    </w:p>
    <w:p>
      <w:pPr>
        <w:spacing w:before="0" w:after="0" w:line="408" w:lineRule="exact"/>
        <w:ind w:left="0" w:right="0" w:firstLine="576"/>
        <w:jc w:val="left"/>
      </w:pPr>
      <w:r>
        <w:rPr>
          <w:u w:val="single"/>
        </w:rPr>
        <w:t xml:space="preserve">(c) No state or local tax may be imposed on individual income derived from wages, investments, the sale of goods or services, or any other source; however, nothing in this article prohibits the modification of any state or local tax or fee authorized as of January 1, 2017.</w:t>
      </w:r>
    </w:p>
    <w:p>
      <w:pPr>
        <w:spacing w:before="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ba62db7a973421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802e7073342b4" /><Relationship Type="http://schemas.openxmlformats.org/officeDocument/2006/relationships/footer" Target="/word/footer.xml" Id="Rcba62db7a9734214" /></Relationships>
</file>