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063306e1d4369" /></Relationships>
</file>

<file path=word/document.xml><?xml version="1.0" encoding="utf-8"?>
<w:document xmlns:w="http://schemas.openxmlformats.org/wordprocessingml/2006/main">
  <w:body>
    <w:p>
      <w:r>
        <w:t>S-1422.2</w:t>
      </w:r>
    </w:p>
    <w:p>
      <w:pPr>
        <w:jc w:val="center"/>
      </w:pPr>
      <w:r>
        <w:t>_______________________________________________</w:t>
      </w:r>
    </w:p>
    <w:p/>
    <w:p>
      <w:pPr>
        <w:jc w:val="center"/>
      </w:pPr>
      <w:r>
        <w:rPr>
          <w:b/>
        </w:rPr>
        <w:t>SENATE JOINT RESOLUTION 8206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Takko, Pearson, Fortunato, Schoesler, Bailey, Warnick, Angel, Rivers, Walsh, and Becker</w:t>
      </w:r>
    </w:p>
    <w:p/>
    <w:p>
      <w:r>
        <w:rPr>
          <w:t xml:space="preserve">Read first time 02/16/17.  </w:t>
        </w:rPr>
      </w:r>
      <w:r>
        <w:rPr>
          <w:t xml:space="preserve">Referred to Committee on Natural Resources &amp; Parks.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(1) The right to hunt, fish, and harvest wildlife:</w:t>
      </w:r>
    </w:p>
    <w:p>
      <w:pPr>
        <w:spacing w:before="0" w:after="0" w:line="408" w:lineRule="exact"/>
        <w:ind w:left="0" w:right="0" w:firstLine="576"/>
        <w:jc w:val="left"/>
      </w:pPr>
      <w:r>
        <w:rPr/>
        <w:t xml:space="preserve">(a) Is a valued part of Washington's heritage; and</w:t>
      </w:r>
    </w:p>
    <w:p>
      <w:pPr>
        <w:spacing w:before="0" w:after="0" w:line="408" w:lineRule="exact"/>
        <w:ind w:left="0" w:right="0" w:firstLine="576"/>
        <w:jc w:val="left"/>
      </w:pPr>
      <w:r>
        <w:rPr/>
        <w:t xml:space="preserve">(b) Shall be forever preserved for the public good.</w:t>
      </w:r>
    </w:p>
    <w:p>
      <w:pPr>
        <w:spacing w:before="0" w:after="0" w:line="408" w:lineRule="exact"/>
        <w:ind w:left="0" w:right="0" w:firstLine="576"/>
        <w:jc w:val="left"/>
      </w:pPr>
      <w:r>
        <w:rPr/>
        <w:t xml:space="preserve">(2) The people have a right, which includes the right to use traditional methods, to hunt, fish, and harvest wildlife, subject only to the laws prescribed by the legislature and rules prescribed by virtue of the authority of the legislature to:</w:t>
      </w:r>
    </w:p>
    <w:p>
      <w:pPr>
        <w:spacing w:before="0" w:after="0" w:line="408" w:lineRule="exact"/>
        <w:ind w:left="0" w:right="0" w:firstLine="576"/>
        <w:jc w:val="left"/>
      </w:pPr>
      <w:r>
        <w:rPr/>
        <w:t xml:space="preserve">(a) Promote wildlife conservation and management; and</w:t>
      </w:r>
    </w:p>
    <w:p>
      <w:pPr>
        <w:spacing w:before="0" w:after="0" w:line="408" w:lineRule="exact"/>
        <w:ind w:left="0" w:right="0" w:firstLine="576"/>
        <w:jc w:val="left"/>
      </w:pPr>
      <w:r>
        <w:rPr/>
        <w:t xml:space="preserve">(b) Preserve the future of hunting and fishing.</w:t>
      </w:r>
    </w:p>
    <w:p>
      <w:pPr>
        <w:spacing w:before="0" w:after="0" w:line="408" w:lineRule="exact"/>
        <w:ind w:left="0" w:right="0" w:firstLine="576"/>
        <w:jc w:val="left"/>
      </w:pPr>
      <w:r>
        <w:rPr/>
        <w:t xml:space="preserve">(3) Hunting and fishing shall be a preferred means of managing and controlling wildlife.</w:t>
      </w:r>
    </w:p>
    <w:p>
      <w:pPr>
        <w:spacing w:before="0" w:after="0" w:line="408" w:lineRule="exact"/>
        <w:ind w:left="0" w:right="0" w:firstLine="576"/>
        <w:jc w:val="left"/>
      </w:pPr>
      <w:r>
        <w:rPr/>
        <w:t xml:space="preserve">(4) This section may not be construed to limit the application of any provision of law relating to trespass or property rights.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6be2540570f4f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8667bca4b4677" /><Relationship Type="http://schemas.openxmlformats.org/officeDocument/2006/relationships/footer" Target="/word/footer.xml" Id="Rf6be2540570f4fdb" /></Relationships>
</file>