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c2696f1474f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Saldaña, Hawkins, Hobbs, Hasegawa, Frockt,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 occupancy vehicle lane access to blood-collecting or distributing establishment vehicles;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is encouraged to engage in a transparent, public process to reexamine its rules surrounding access to high occupancy vehicle lanes. This process must consider the benefits and impacts of allowing vehicles that deliver or collect blood, tissue, or blood components for a blood-collecting or distributing establishment regulated under chapter 70.335 RCW into the high occupancy vehicle lanes.</w:t>
      </w:r>
    </w:p>
    <w:p>
      <w:pPr>
        <w:spacing w:before="0" w:after="0" w:line="408" w:lineRule="exact"/>
        <w:ind w:left="0" w:right="0" w:firstLine="576"/>
        <w:jc w:val="left"/>
      </w:pPr>
      <w:r>
        <w:rPr/>
        <w:t xml:space="preserve">(2) By January 1, 2019,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p>
    <w:p/>
    <w:p>
      <w:pPr>
        <w:jc w:val="center"/>
      </w:pPr>
      <w:r>
        <w:rPr>
          <w:b/>
        </w:rPr>
        <w:t>--- END ---</w:t>
      </w:r>
    </w:p>
    <w:sectPr>
      <w:pgNumType w:start="1"/>
      <w:footerReference xmlns:r="http://schemas.openxmlformats.org/officeDocument/2006/relationships" r:id="R2057e557df0b45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aa7ea28a9438c" /><Relationship Type="http://schemas.openxmlformats.org/officeDocument/2006/relationships/footer" Target="/word/footer.xml" Id="R2057e557df0b45b4" /></Relationships>
</file>