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4097f74884b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Billig, Fain, Palumbo, Miloscia, Hunt, Mullet, Carlyle, Frockt, Rolfes, Ranker, Darneille, Conway, Hasegawa, Pedersen, Nelson, McCoy, Takko, Saldaña, Cleveland, Wellman, Kuderer, Liias, Hobbs, Chase, Van De Wege, Keiser, and Dhingra)</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2018; amending RCW 42.17A.235, 42.17A.240, and 42.17A.420; reenacting and amending RCW 42.17A.005; adding a new section to chapter 42.17A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2018 or the Washington state DISCLOSE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many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w:t>
      </w:r>
      <w:r>
        <w:rPr>
          <w:u w:val="single"/>
        </w:rPr>
        <w:t xml:space="preserve">or incidental</w:t>
      </w:r>
      <w:r>
        <w:rPr/>
        <w:t xml:space="preserve">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w:t>
      </w:r>
      <w:r>
        <w:rPr>
          <w:u w:val="single"/>
        </w:rPr>
        <w:t xml:space="preserve">or incidental</w:t>
      </w:r>
      <w:r>
        <w:rPr/>
        <w:t xml:space="preserve">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w:t>
      </w:r>
      <w:r>
        <w:rPr>
          <w:u w:val="single"/>
        </w:rPr>
        <w:t xml:space="preserve">or incidental</w:t>
      </w:r>
      <w:r>
        <w:rPr/>
        <w:t xml:space="preserve">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w:t>
      </w:r>
      <w:r>
        <w:rPr>
          <w:u w:val="single"/>
        </w:rPr>
        <w:t xml:space="preserve">or incidental</w:t>
      </w:r>
      <w:r>
        <w:rPr/>
        <w:t xml:space="preserve"> committee that is returned to the contributor within five business days of the date on which it is received by the candidate or political </w:t>
      </w:r>
      <w:r>
        <w:rPr>
          <w:u w:val="single"/>
        </w:rPr>
        <w:t xml:space="preserve">or incidental</w:t>
      </w:r>
      <w:r>
        <w:rPr/>
        <w:t xml:space="preserve">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w:t>
      </w:r>
      <w:r>
        <w:rPr>
          <w:u w:val="single"/>
        </w:rPr>
        <w:t xml:space="preserve">or incidental</w:t>
      </w:r>
      <w:r>
        <w:rPr/>
        <w:t xml:space="preserve"> committees either as volunteer services defined in (b)(vi) of this subsection or for payment by the candidate or political </w:t>
      </w:r>
      <w:r>
        <w:rPr>
          <w:u w:val="single"/>
        </w:rPr>
        <w:t xml:space="preserve">or incidental</w:t>
      </w:r>
      <w:r>
        <w:rPr/>
        <w:t xml:space="preserve">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w:t>
      </w:r>
      <w:r>
        <w:rPr>
          <w:u w:val="single"/>
        </w:rPr>
        <w:t xml:space="preserve">or incidental</w:t>
      </w:r>
      <w:r>
        <w:rPr/>
        <w:t xml:space="preserve">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w:t>
      </w:r>
      <w:r>
        <w:rPr>
          <w:u w:val="single"/>
        </w:rPr>
        <w:t xml:space="preserve">or incidental</w:t>
      </w:r>
      <w:r>
        <w:rPr/>
        <w:t xml:space="preserve">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w:t>
      </w:r>
      <w:r>
        <w:rPr>
          <w:u w:val="single"/>
        </w:rPr>
        <w:t xml:space="preserve">or incidental</w:t>
      </w:r>
      <w:r>
        <w:rPr/>
        <w:t xml:space="preserve">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w:t>
      </w:r>
      <w:r>
        <w:rPr>
          <w:u w:val="single"/>
        </w:rPr>
        <w:t xml:space="preserve">or incidental</w:t>
      </w:r>
      <w:r>
        <w:rPr/>
        <w:t xml:space="preserve">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w:t>
      </w:r>
      <w:r>
        <w:t>((</w:t>
      </w:r>
      <w:r>
        <w:rPr>
          <w:strike/>
        </w:rPr>
        <w:t xml:space="preserve">(2)</w:t>
      </w:r>
      <w:r>
        <w:t>))</w:t>
      </w:r>
      <w:r>
        <w:rPr/>
        <w:t xml:space="preserve"> </w:t>
      </w:r>
      <w:r>
        <w:rPr>
          <w:u w:val="single"/>
        </w:rPr>
        <w:t xml:space="preserve">(8)</w:t>
      </w:r>
      <w:r>
        <w:rPr/>
        <w:t xml:space="preserve">.</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w:t>
      </w:r>
      <w:r>
        <w:rPr>
          <w:u w:val="single"/>
        </w:rPr>
        <w:t xml:space="preserve">"Incidental committee" means any nonprofit organization not otherwise defined as a political committee but that may incidentally make a contribution or an expenditure in excess of the reporting thresholds in section 5 of this act,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w:t>
      </w:r>
      <w:r>
        <w:rPr>
          <w:u w:val="single"/>
        </w:rPr>
        <w:t xml:space="preserve">or incidental</w:t>
      </w:r>
      <w:r>
        <w:rPr/>
        <w:t xml:space="preserve">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w:t>
      </w:r>
      <w:r>
        <w:rPr>
          <w:u w:val="single"/>
        </w:rPr>
        <w:t xml:space="preserve">or incidental</w:t>
      </w:r>
      <w:r>
        <w:rPr/>
        <w:t xml:space="preserve">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w:t>
      </w:r>
      <w:r>
        <w:rPr>
          <w:u w:val="single"/>
        </w:rPr>
        <w:t xml:space="preserve">of a candidate or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election campaign expenditure reportable under RCW 42.17A.240(6) since its last report, and the total election campaign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for a candidate or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w:t>
      </w:r>
      <w:r>
        <w:t>((</w:t>
      </w:r>
      <w:r>
        <w:rPr>
          <w:strike/>
        </w:rPr>
        <w:t xml:space="preserve">or</w:t>
      </w:r>
      <w:r>
        <w:t>))</w:t>
      </w:r>
      <w:r>
        <w:rPr/>
        <w:t xml:space="preserve"> </w:t>
      </w:r>
      <w:r>
        <w:rPr>
          <w:u w:val="single"/>
        </w:rPr>
        <w:t xml:space="preserve">for a</w:t>
      </w:r>
      <w:r>
        <w:rPr/>
        <w:t xml:space="preserve"> candidate </w:t>
      </w:r>
      <w:r>
        <w:rPr>
          <w:u w:val="single"/>
        </w:rPr>
        <w:t xml:space="preserve">or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w:t>
      </w:r>
      <w:r>
        <w:rPr>
          <w:u w:val="single"/>
        </w:rPr>
        <w:t xml:space="preserve">political</w:t>
      </w:r>
      <w:r>
        <w:rPr/>
        <w:t xml:space="preserv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 </w:t>
      </w:r>
      <w:r>
        <w:rPr>
          <w:u w:val="single"/>
        </w:rPr>
        <w:t xml:space="preserve">except that the commission may suspend or modify reporting requirements for contributions received by an incidental committee in cases of manifestly unreasonable hardship under RCW 42.17A.120</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p>
    <w:p>
      <w:pPr>
        <w:spacing w:before="0" w:after="0" w:line="408" w:lineRule="exact"/>
        <w:ind w:left="0" w:right="0" w:firstLine="576"/>
        <w:jc w:val="left"/>
      </w:pPr>
      <w:r>
        <w:rPr>
          <w:u w:val="single"/>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u w:val="single"/>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u w:val="single"/>
        </w:rPr>
        <w:t xml:space="preserve">(ii) Use of the funds for election campaign purposes is explicitly prohibited by contract; and</w:t>
      </w:r>
    </w:p>
    <w:p>
      <w:pPr>
        <w:spacing w:before="0" w:after="0" w:line="408" w:lineRule="exact"/>
        <w:ind w:left="0" w:right="0" w:firstLine="576"/>
        <w:jc w:val="left"/>
      </w:pPr>
      <w:r>
        <w:rPr>
          <w:u w:val="single"/>
        </w:rPr>
        <w:t xml:space="preserve">(iii) Funding from the private foundation represents less than twenty-five percent of the incidental committee's total budget;</w:t>
      </w:r>
    </w:p>
    <w:p>
      <w:pPr>
        <w:spacing w:before="0" w:after="0" w:line="408" w:lineRule="exact"/>
        <w:ind w:left="0" w:right="0" w:firstLine="576"/>
        <w:jc w:val="left"/>
      </w:pPr>
      <w:r>
        <w:rPr>
          <w:u w:val="single"/>
        </w:rPr>
        <w:t xml:space="preserve">(f) For purposes of this subsection, commentary or analysis on a ballot measure by an incidental committee is not considered a contribution if it does not advocate specifically to vote for or against the ballot measure; and</w:t>
      </w:r>
    </w:p>
    <w:p>
      <w:pPr>
        <w:spacing w:before="0" w:after="0" w:line="408" w:lineRule="exact"/>
        <w:ind w:left="0" w:right="0" w:firstLine="576"/>
        <w:jc w:val="left"/>
      </w:pPr>
      <w:r>
        <w:rPr>
          <w:u w:val="single"/>
        </w:rPr>
        <w:t xml:space="preserve">(g)</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expenditures, made and reportable as contributions as defined in RCW 42.17A.005, to election campaigns. For purposes of this subsection, commentary or analysis on a ballot measure by an incidental committee is not considered an expenditure if it does not advocate specifically to vote for or against the ballot measure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2010 c 204 s 604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 contributions made by, or accepted from, a bona fide political party as defined in this chapter, excluding the county central committee or legislative district committee. </w:t>
      </w:r>
      <w:r>
        <w:rPr>
          <w:u w:val="single"/>
        </w:rPr>
        <w:t xml:space="preserve">This subsection does not apply to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shall implement the provisions of this act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40519fa924a744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e6d155524149a9" /><Relationship Type="http://schemas.openxmlformats.org/officeDocument/2006/relationships/footer" Target="/word/footer.xml" Id="R40519fa924a74449" /></Relationships>
</file>