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f3e6fea055415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6298</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39</w:t>
            </w:r>
            <w:r>
              <w:t xml:space="preserve">  Nays </w:t>
              <w:t xml:space="preserve">10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94</w:t>
            </w:r>
            <w:r>
              <w:t xml:space="preserve">  Nays </w:t>
              <w:t xml:space="preserve">4</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6298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6298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Dhingra, Palumbo, Saldaña, Frockt, Mullet, Takko, Kuderer, Darneille, Chase, Rolfes, Cleveland, Carlyle, Wellman, Hasegawa, Ranker, Keiser, Billig, Nelson, McCoy, Liias, Van De Wege, Pedersen, Hunt, and Conway</w:t>
      </w:r>
    </w:p>
    <w:p/>
    <w:p>
      <w:r>
        <w:rPr>
          <w:t xml:space="preserve">Read first time 01/11/18.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domestic violence harassment to the list of offenses for which a person is prohibited from possessing a firearm; and amending RCW 9.41.040.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2017 c 233 s 4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w:t>
      </w:r>
      <w:r>
        <w:rPr>
          <w:u w:val="single"/>
        </w:rPr>
        <w:t xml:space="preserve">After having previously been convicted or found not guilty by reason of insanity in this state or elsewhere of harassment when committed by one family or household member against another, committed on or after the effective date of this section;</w:t>
      </w:r>
    </w:p>
    <w:p>
      <w:pPr>
        <w:spacing w:before="0" w:after="0" w:line="408" w:lineRule="exact"/>
        <w:ind w:left="0" w:right="0" w:firstLine="576"/>
        <w:jc w:val="left"/>
      </w:pPr>
      <w:r>
        <w:rPr>
          <w:u w:val="single"/>
        </w:rPr>
        <w:t xml:space="preserve">(iii)</w:t>
      </w:r>
      <w:r>
        <w:rPr/>
        <w:t xml:space="preserve"> During any period of time that the person is subject to a court order issued under chapter 7.90, 7.92, 9A.46, 10.14, 10.99, 26.09, 26.10, 26.26,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If the person is under eighteen years of age, except as provided in RCW 9.41.042; and/or</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(a)</w:t>
      </w:r>
      <w:r>
        <w:t>((</w:t>
      </w:r>
      <w:r>
        <w:rPr>
          <w:strike/>
        </w:rPr>
        <w:t xml:space="preserve">(ii)</w:t>
      </w:r>
      <w:r>
        <w:t>))</w:t>
      </w:r>
      <w:r>
        <w:rPr/>
        <w:t xml:space="preserve"> </w:t>
      </w:r>
      <w:r>
        <w:rPr>
          <w:u w:val="single"/>
        </w:rPr>
        <w:t xml:space="preserve">(iii)</w:t>
      </w:r>
      <w:r>
        <w:rPr/>
        <w:t xml:space="preserve">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t xml:space="preserve">(c)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(4)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t xml:space="preserve">(8) For purposes of this section, "intimate partner" includes: A spouse, a domestic partner, a former spouse, a former domestic partner, a person with whom the restrained person has a child in common, or a person with whom the restrained person has cohabitated or is cohabitating as part of a dating relationship.</w:t>
      </w:r>
    </w:p>
    <w:p/>
    <w:p>
      <w:pPr>
        <w:jc w:val="center"/>
      </w:pPr>
      <w:r>
        <w:rPr>
          <w:b/>
        </w:rPr>
        <w:t>--- END ---</w:t>
      </w:r>
    </w:p>
    <w:sectPr>
      <w:pgNumType w:start="1"/>
      <w:footerReference xmlns:r="http://schemas.openxmlformats.org/officeDocument/2006/relationships" r:id="R0c9ca33b95a54e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0dbdb44a304201" /><Relationship Type="http://schemas.openxmlformats.org/officeDocument/2006/relationships/footer" Target="/word/footer.xml" Id="R0c9ca33b95a54e60" /></Relationships>
</file>