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fed7459a12451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6475</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2018</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6475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6475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Senators Hobbs, Palumbo, King, Wagoner, McCoy, and Liias)</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regional transit authority property taxes imposed on less than a whole parcel; amending RCW 81.104.175;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2015 3rd sp.s. c 44 s 321 are each amended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u w:val="single"/>
        </w:rPr>
        <w:t xml:space="preserve">(7) Property taxes imposed under this section may not be imposed on less than a whole parcel.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1622943312946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a6f51e13a6430a" /><Relationship Type="http://schemas.openxmlformats.org/officeDocument/2006/relationships/footer" Target="/word/footer.xml" Id="Rf1622943312946bf" /></Relationships>
</file>