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576b3482747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1237</w:t>
      </w:r>
    </w:p>
    <w:p>
      <w:pPr>
        <w:jc w:val="center"/>
        <w:spacing w:before="480" w:after="0" w:line="240"/>
      </w:pPr>
      <w:r>
        <w:t xml:space="preserve">Chapter </w:t>
      </w:r>
      <w:r>
        <w:rPr/>
        <w:t xml:space="preserve">267</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COMMUNITY AND TECHNICAL COLLEGES--ACADEMIC EMPLOYEE COMPENSATION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2:17 PM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Sells, Haler, Pollet, Appleton, Bergquist, Cody, Farrell, Riccelli, Lovick, Johnson, Ormsby, Springer, Gregerson, Ryu, Wylie, Sawyer, Santos, Senn, Goodman, Fey, and Stanford</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providing additional compensation to academic employees at community and technical colleges; amending RCW 28B.52.035 and 28B.50.140;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and technical colleges provide important access to continuing education, preparation for a university, and workforce training that improve the quality of life and economic vitality of the state. The legislature further finds that a funding gap was created in the 2017-2019 biennium between the amount from the state general fund and the amount that was assumed to come from tuition increases. Therefore the legislature intends to fill the gap created in the 2017-2019 biennium and fund salary and benefit increases with sixty-six percent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u w:val="single"/>
        </w:rPr>
        <w:t xml:space="preserve">(1)</w:t>
      </w:r>
      <w:r>
        <w:rPr/>
        <w:t xml:space="preserve">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w:t>
      </w:r>
    </w:p>
    <w:p>
      <w:pPr>
        <w:spacing w:before="0" w:after="0" w:line="408" w:lineRule="exact"/>
        <w:ind w:left="0" w:right="0" w:firstLine="576"/>
        <w:jc w:val="left"/>
      </w:pPr>
      <w:r>
        <w:rPr>
          <w:u w:val="single"/>
        </w:rPr>
        <w:t xml:space="preserve">(2) The written agreement acted upon by a board of trustees must
be submitted to the director of the office of financial management by
October 1 prior to the fiscal year in which the provisions of the
agreement go into effect.</w:t>
      </w:r>
      <w:r>
        <w:rPr/>
        <w:t xml:space="preserve">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1st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w:t>
      </w:r>
      <w:r>
        <w:t>((</w:t>
      </w:r>
      <w:r>
        <w:rPr>
          <w:strike/>
        </w:rPr>
        <w:t xml:space="preserve">for increments provided with local resources during the 2015-2017 fiscal biennium</w:t>
      </w:r>
      <w:r>
        <w:t>))</w:t>
      </w:r>
      <w:r>
        <w:rPr/>
        <w:t xml:space="preserve"> </w:t>
      </w:r>
      <w:r>
        <w:rPr>
          <w:u w:val="single"/>
        </w:rPr>
        <w:t xml:space="preserve">as provided for academic employees in RCW 28B.52.035 and technical college classified employees under chapter 41.56 RCW</w:t>
      </w:r>
      <w:r>
        <w:rP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27,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 Engrossed House Bill No. 1237 entitled:</w:t>
      </w:r>
    </w:p>
    <w:p>
      <w:pPr>
        <w:spacing w:before="120" w:after="0" w:line="408" w:lineRule="exact"/>
        <w:ind w:left="0" w:right="0" w:firstLine="576"/>
        <w:jc w:val="left"/>
      </w:pPr>
      <w:r>
        <w:rPr/>
        <w:t xml:space="preserve">"AN ACT Relating to modifying collective bargaining law to authorize providing additional compensation to academic employees at community and technical colleges."</w:t>
      </w:r>
    </w:p>
    <w:p>
      <w:pPr>
        <w:spacing w:before="120" w:after="0" w:line="408" w:lineRule="exact"/>
        <w:ind w:left="0" w:right="0" w:firstLine="0"/>
        <w:jc w:val="left"/>
      </w:pPr>
      <w:r>
        <w:rPr/>
        <w:t xml:space="preserve">Engrossed House Bill 1237 authorizes boards of trustees of community and technical colleges to use local funds, such as tuition, to provide salary increases that exceed the amount established by the Legislature. This is an important step in ensuring that faculty and staff at community and technical colleges are fairly compensated. Section 1 of this bill is an intent section, but addresses decisions that are budgetary in nature and should be dealt with in future budget processes. For this reason, I have vetoed section 1 of this bill.</w:t>
      </w:r>
    </w:p>
    <w:p>
      <w:pPr>
        <w:spacing w:before="120" w:after="0" w:line="408" w:lineRule="exact"/>
        <w:ind w:left="0" w:right="0" w:firstLine="0"/>
        <w:jc w:val="left"/>
      </w:pPr>
      <w:r>
        <w:rPr/>
        <w:t xml:space="preserve">For these reasons I have vetoed Section 1 of Engrossed House Bill No. 1237.</w:t>
      </w:r>
    </w:p>
    <w:p>
      <w:pPr>
        <w:spacing w:before="120" w:after="0" w:line="408" w:lineRule="exact"/>
        <w:ind w:left="0" w:right="0" w:firstLine="0"/>
        <w:jc w:val="left"/>
      </w:pPr>
      <w:r>
        <w:rPr/>
        <w:t xml:space="preserve">With the exception of Section 1, Engrossed House Bill No. 1237 is approved."</w:t>
      </w:r>
    </w:p>
    <w:sectPr>
      <w:pgNumType w:start="1"/>
      <w:footerReference xmlns:r="http://schemas.openxmlformats.org/officeDocument/2006/relationships" r:id="Rf484892aa9e744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a5f06d41f1407a" /><Relationship Type="http://schemas.openxmlformats.org/officeDocument/2006/relationships/footer" Target="/word/footer.xml" Id="Rf484892aa9e744b4" /></Relationships>
</file>