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1d499fba1e40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1344</w:t>
      </w:r>
    </w:p>
    <w:p>
      <w:pPr>
        <w:jc w:val="center"/>
        <w:spacing w:before="480" w:after="0" w:line="240"/>
      </w:pPr>
      <w:r>
        <w:t xml:space="preserve">Chapter </w:t>
      </w:r>
      <w:r>
        <w:rPr/>
        <w:t xml:space="preserve">296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THURSTON COUNTY--BOND LEVIES--LEVY LID LIFT DURATION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74</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10:20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Finance (originally sponsored by Representatives Dolan, Nealey, Doglio, Springer, Frame, Riccelli, Appleton, Ryu, Ormsby, and Goodman)</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period for which a bond levy may be increased; amending RCW 84.55.050;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government owned property is exempt from both property taxes and leasehold excise tax. The legislature further finds property tax exemptions lower the taxable assessed value within a district. The legislature further finds most of the state-owned buildings in Washington, including the state capitol, are located in Thurston county. The legislature further finds this imposes a disproportional burden on taxpayers and Thurston county. It is the legislature's objective to mitigate this burden by providing Thurston county the ability to increase a bond levy for a longer period of time with a voter approved lid lift.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twelve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r>
        <w:rPr>
          <w:u w:val="single"/>
        </w:rPr>
        <w:t xml:space="preserve">;</w:t>
      </w:r>
    </w:p>
    <w:p>
      <w:pPr>
        <w:spacing w:before="0" w:after="0" w:line="408" w:lineRule="exact"/>
        <w:ind w:left="0" w:right="0" w:firstLine="576"/>
        <w:jc w:val="left"/>
      </w:pPr>
      <w:r>
        <w:rPr>
          <w:u w:val="single"/>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u w:val="single"/>
        </w:rPr>
        <w:t xml:space="preserve">(ii) For districts other than a district under (c)(i) of this subsection</w:t>
      </w:r>
      <w:r>
        <w:rPr/>
        <w:t xml:space="preserve">, the period for which the increased levies are made </w:t>
      </w:r>
      <w:r>
        <w:t>((</w:t>
      </w:r>
      <w:r>
        <w:rPr>
          <w:strike/>
        </w:rPr>
        <w:t xml:space="preserve">shall</w:t>
      </w:r>
      <w:r>
        <w:t>))</w:t>
      </w:r>
      <w:r>
        <w:rPr/>
        <w:t xml:space="preserve"> </w:t>
      </w:r>
      <w:r>
        <w:rPr>
          <w:u w:val="single"/>
        </w:rPr>
        <w:t xml:space="preserve">may</w:t>
      </w:r>
      <w:r>
        <w:rPr/>
        <w:t xml:space="preserve">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94ab98d5e5c1428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a71add77f4645" /><Relationship Type="http://schemas.openxmlformats.org/officeDocument/2006/relationships/footer" Target="/word/footer.xml" Id="R94ab98d5e5c14284" /></Relationships>
</file>