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08894ebcdf42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1402</w:t>
      </w:r>
    </w:p>
    <w:p>
      <w:pPr>
        <w:jc w:val="center"/>
        <w:spacing w:before="480" w:after="0" w:line="240"/>
      </w:pPr>
      <w:r>
        <w:t xml:space="preserve">Chapter </w:t>
      </w:r>
      <w:r>
        <w:rPr/>
        <w:t xml:space="preserve">268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INCAPACITATED PERSONS--RIGHTS--GUARDIAN DUTIES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1402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11:12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Jinkins, Griffey, Rodne, Goodman, Muri, Kilduff, Orwall, Haler, Kirby, Hansen, Frame, Johnson, Appleton, Ortiz-Self, and Cody)</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and obligations associated with incapacitated persons and other vulnerable adults; amending RCW 74.34.020 and 11.92.043; adding a new section to chapter 11.92 RCW; adding a new section to chapter 2.72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an incapacitated person retains the right to associate with persons of the incapacitated person's choosing. This right includes, but is not limited to, the right to freely communicate and interact with other persons, whether through in-person visits, telephone calls, electronic communication, personal mail, or other means. If the incapacitated person is unable to express consent for communication, visitation, or interaction with another person, or is otherwise unable to make a decision regarding association with another person, a guardian of the incapacitated person, whether full or limited, must:</w:t>
      </w:r>
    </w:p>
    <w:p>
      <w:pPr>
        <w:spacing w:before="0" w:after="0" w:line="408" w:lineRule="exact"/>
        <w:ind w:left="0" w:right="0" w:firstLine="576"/>
        <w:jc w:val="left"/>
      </w:pPr>
      <w:r>
        <w:rPr/>
        <w:t xml:space="preserve">(a) Personally inform the incapacitated person of the decision under consideration, using plain language, in a manner calculated to maximize the understanding of the incapacitated person;</w:t>
      </w:r>
    </w:p>
    <w:p>
      <w:pPr>
        <w:spacing w:before="0" w:after="0" w:line="408" w:lineRule="exact"/>
        <w:ind w:left="0" w:right="0" w:firstLine="576"/>
        <w:jc w:val="left"/>
      </w:pPr>
      <w:r>
        <w:rPr/>
        <w:t xml:space="preserve">(b) Maximize the incapacitated person's participation in the decision-making process to the greatest extent possible, consistent with the incapacitated person's abilities; and</w:t>
      </w:r>
    </w:p>
    <w:p>
      <w:pPr>
        <w:spacing w:before="0" w:after="0" w:line="408" w:lineRule="exact"/>
        <w:ind w:left="0" w:right="0" w:firstLine="576"/>
        <w:jc w:val="left"/>
      </w:pPr>
      <w:r>
        <w:rPr/>
        <w:t xml:space="preserve">(c) Give substantial weight to the incapacitated person's preferences, both expressed and historical.</w:t>
      </w:r>
    </w:p>
    <w:p>
      <w:pPr>
        <w:spacing w:before="0" w:after="0" w:line="408" w:lineRule="exact"/>
        <w:ind w:left="0" w:right="0" w:firstLine="576"/>
        <w:jc w:val="left"/>
      </w:pPr>
      <w:r>
        <w:rPr/>
        <w:t xml:space="preserve">(2) A guardian or limited guardian may not restrict an incapacitated person's right to communicate, visit, interact, or otherwise associate with persons of the incapacitated person's choosing, unless:</w:t>
      </w:r>
    </w:p>
    <w:p>
      <w:pPr>
        <w:spacing w:before="0" w:after="0" w:line="408" w:lineRule="exact"/>
        <w:ind w:left="0" w:right="0" w:firstLine="576"/>
        <w:jc w:val="left"/>
      </w:pPr>
      <w:r>
        <w:rPr/>
        <w:t xml:space="preserve">(a) The restriction is specifically authorized by the guardianship court in the court order establishing or modifying the guardianship or limited guardianship under chapter 11.88 RCW;</w:t>
      </w:r>
    </w:p>
    <w:p>
      <w:pPr>
        <w:spacing w:before="0" w:after="0" w:line="408" w:lineRule="exact"/>
        <w:ind w:left="0" w:right="0" w:firstLine="576"/>
        <w:jc w:val="left"/>
      </w:pPr>
      <w:r>
        <w:rPr/>
        <w:t xml:space="preserve">(b) The restriction is pursuant to a protection order issued under chapter 74.34 RCW, chapter 26.50 RCW, or other law, that limits contact between the incapacitated person and other persons; or</w:t>
      </w:r>
    </w:p>
    <w:p>
      <w:pPr>
        <w:spacing w:before="0" w:after="0" w:line="408" w:lineRule="exact"/>
        <w:ind w:left="0" w:right="0" w:firstLine="576"/>
        <w:jc w:val="left"/>
      </w:pPr>
      <w:r>
        <w:rPr/>
        <w:t xml:space="preserve">(c)(i) The guardian or limited guardian has good cause to believe that there is an immediate need to restrict an incapacitated person's right to communicate, visit, interact, or otherwise associate with persons of the incapacitated person's choosing in order to protect the incapacitated person from abuse, neglect, abandonment, or financial exploitation, as those terms are defined in RCW 74.34.020, or to protect the incapacitated person from activities that unnecessarily impose significant distress on the incapacitated person; and</w:t>
      </w:r>
    </w:p>
    <w:p>
      <w:pPr>
        <w:spacing w:before="0" w:after="0" w:line="408" w:lineRule="exact"/>
        <w:ind w:left="0" w:right="0" w:firstLine="576"/>
        <w:jc w:val="left"/>
      </w:pPr>
      <w:r>
        <w:rPr/>
        <w:t xml:space="preserve">(ii) Within fourteen calendar days of imposing the restriction under (c)(i) of this subsection, the guardian or limited guardian files a petition for a protection order under chapter 74.34 RCW. The immediate need restriction may remain in place until the court has heard and issued an order or decision on the petition.</w:t>
      </w:r>
    </w:p>
    <w:p>
      <w:pPr>
        <w:spacing w:before="0" w:after="0" w:line="408" w:lineRule="exact"/>
        <w:ind w:left="0" w:right="0" w:firstLine="576"/>
        <w:jc w:val="left"/>
      </w:pPr>
      <w:r>
        <w:rPr/>
        <w:t xml:space="preserve">(3) A protection order under chapter 74.34 RCW issued to protect an incapacitated person as described in subsection (2)(c)(ii)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incapacitated person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incapacitated person and another person unless the court finds that placing reasonable time, place, or manner restrictions is unlikely to sufficiently protect the incapacitated person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w:t>
      </w:r>
      <w:r>
        <w:rPr>
          <w:u w:val="single"/>
        </w:rPr>
        <w:t xml:space="preserve">(a)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u w:val="single"/>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u w:val="single"/>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u w:val="single"/>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u w:val="single"/>
        </w:rPr>
        <w:t xml:space="preserve">(14)</w:t>
      </w:r>
      <w:r>
        <w:rPr/>
        <w:t xml:space="preserve">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u w:val="single"/>
        </w:rPr>
        <w:t xml:space="preserve">(1)</w:t>
      </w:r>
      <w:r>
        <w:rPr/>
        <w:t xml:space="preserve"> It </w:t>
      </w:r>
      <w:r>
        <w:t>((</w:t>
      </w:r>
      <w:r>
        <w:rPr>
          <w:strike/>
        </w:rPr>
        <w:t xml:space="preserve">shall be</w:t>
      </w:r>
      <w:r>
        <w:t>))</w:t>
      </w:r>
      <w:r>
        <w:rPr/>
        <w:t xml:space="preserve"> </w:t>
      </w:r>
      <w:r>
        <w:rPr>
          <w:u w:val="single"/>
        </w:rPr>
        <w:t xml:space="preserve">is</w:t>
      </w:r>
      <w:r>
        <w:rPr/>
        <w:t xml:space="preserve"> the duty of the guardian or limited guardian of the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file within three months after appointment a personal care plan for the incapacitated person</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include </w:t>
      </w:r>
      <w:r>
        <w:t>((</w:t>
      </w:r>
      <w:r>
        <w:rPr>
          <w:strike/>
        </w:rPr>
        <w:t xml:space="preserve">(a)</w:t>
      </w:r>
      <w:r>
        <w:t>))</w:t>
      </w:r>
      <w:r>
        <w:rPr/>
        <w:t xml:space="preserve"> </w:t>
      </w:r>
      <w:r>
        <w:rPr>
          <w:u w:val="single"/>
        </w:rPr>
        <w:t xml:space="preserve">(i)</w:t>
      </w:r>
      <w:r>
        <w:rPr/>
        <w:t xml:space="preserve"> an assessment of the incapacitated person's physical, mental, and emotional needs and of such person's ability to perform or assist in activities of daily living, and </w:t>
      </w:r>
      <w:r>
        <w:t>((</w:t>
      </w:r>
      <w:r>
        <w:rPr>
          <w:strike/>
        </w:rPr>
        <w:t xml:space="preserve">(b)</w:t>
      </w:r>
      <w:r>
        <w:t>))</w:t>
      </w:r>
      <w:r>
        <w:rPr/>
        <w:t xml:space="preserve"> </w:t>
      </w:r>
      <w:r>
        <w:rPr>
          <w:u w:val="single"/>
        </w:rPr>
        <w:t xml:space="preserve">(ii)</w:t>
      </w:r>
      <w:r>
        <w:rPr/>
        <w:t xml:space="preserve"> the guardian's specific plan for meeting the identified and emerging personal care needs of the incapacitated person.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address and name of the incapacitated person and all residential changes during the period;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services or programs </w:t>
      </w:r>
      <w:r>
        <w:t>((</w:t>
      </w:r>
      <w:r>
        <w:rPr>
          <w:strike/>
        </w:rPr>
        <w:t xml:space="preserve">which</w:t>
      </w:r>
      <w:r>
        <w:t>))</w:t>
      </w:r>
      <w:r>
        <w:rPr/>
        <w:t xml:space="preserve"> </w:t>
      </w:r>
      <w:r>
        <w:rPr>
          <w:u w:val="single"/>
        </w:rPr>
        <w:t xml:space="preserve">that</w:t>
      </w:r>
      <w:r>
        <w:rPr/>
        <w:t xml:space="preserve"> the incapacitated person receives;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medical status of the incapacitated person;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mental status of the incapacitated person</w:t>
      </w:r>
      <w:r>
        <w:rPr>
          <w:u w:val="single"/>
        </w:rPr>
        <w:t xml:space="preserve">, including reports from mental health professionals on the status of the incapacitated person, if any exist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Changes in the functional abilities of the incapacitated person;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Activities of the guardian for the period;</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Any recommended changes in the scope of the authority of the guardian;</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The identity of any professionals who have assisted the incapacitated person during the period;</w:t>
      </w:r>
    </w:p>
    <w:p>
      <w:pPr>
        <w:spacing w:before="0" w:after="0" w:line="408" w:lineRule="exact"/>
        <w:ind w:left="0" w:right="0" w:firstLine="576"/>
        <w:jc w:val="left"/>
      </w:pPr>
      <w:r>
        <w:t>((</w:t>
      </w:r>
      <w:r>
        <w:rPr>
          <w:strike/>
        </w:rPr>
        <w:t xml:space="preserve">(i)(i)</w:t>
      </w:r>
      <w:r>
        <w:t>))</w:t>
      </w:r>
      <w:r>
        <w:rPr/>
        <w:t xml:space="preserve"> </w:t>
      </w:r>
      <w:r>
        <w:rPr>
          <w:u w:val="single"/>
        </w:rPr>
        <w:t xml:space="preserve">(ix)(A)</w:t>
      </w:r>
      <w:r>
        <w:rPr/>
        <w:t xml:space="preserve"> Evidence of the guardian or limited guardian's successful completion of any standardized training video or web cast for guardians or limited guardians made available by the administrative office of the courts and the superior court when the guardian or limited guardian: </w:t>
      </w:r>
      <w:r>
        <w:t>((</w:t>
      </w:r>
      <w:r>
        <w:rPr>
          <w:strike/>
        </w:rPr>
        <w:t xml:space="preserve">(A)</w:t>
      </w:r>
      <w:r>
        <w:t>))</w:t>
      </w:r>
      <w:r>
        <w:rPr/>
        <w:t xml:space="preserve"> </w:t>
      </w:r>
      <w:r>
        <w:rPr>
          <w:u w:val="single"/>
        </w:rPr>
        <w:t xml:space="preserve">(I)</w:t>
      </w:r>
      <w:r>
        <w:rPr/>
        <w:t xml:space="preserve"> Was appointed prior to July 22, 2011; </w:t>
      </w:r>
      <w:r>
        <w:t>((</w:t>
      </w:r>
      <w:r>
        <w:rPr>
          <w:strike/>
        </w:rPr>
        <w:t xml:space="preserve">(B)</w:t>
      </w:r>
      <w:r>
        <w:t>))</w:t>
      </w:r>
      <w:r>
        <w:rPr/>
        <w:t xml:space="preserve"> </w:t>
      </w:r>
      <w:r>
        <w:rPr>
          <w:u w:val="single"/>
        </w:rPr>
        <w:t xml:space="preserve">(II)</w:t>
      </w:r>
      <w:r>
        <w:rPr/>
        <w:t xml:space="preserve"> is not a certified professional guardian or financial institution authorized under RCW 11.88.020; and </w:t>
      </w:r>
      <w:r>
        <w:t>((</w:t>
      </w:r>
      <w:r>
        <w:rPr>
          <w:strike/>
        </w:rPr>
        <w:t xml:space="preserve">(C)</w:t>
      </w:r>
      <w:r>
        <w:t>))</w:t>
      </w:r>
      <w:r>
        <w:rPr/>
        <w:t xml:space="preserve"> </w:t>
      </w:r>
      <w:r>
        <w:rPr>
          <w:u w:val="single"/>
        </w:rPr>
        <w:t xml:space="preserve">(III)</w:t>
      </w:r>
      <w:r>
        <w:rPr/>
        <w:t xml:space="preserve">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superior court may, upon </w:t>
      </w:r>
      <w:r>
        <w:t>((</w:t>
      </w:r>
      <w:r>
        <w:rPr>
          <w:strike/>
        </w:rPr>
        <w:t xml:space="preserve">(A)</w:t>
      </w:r>
      <w:r>
        <w:t>))</w:t>
      </w:r>
      <w:r>
        <w:rPr/>
        <w:t xml:space="preserve"> petition by the guardian or limited guardian</w:t>
      </w:r>
      <w:r>
        <w:t>((</w:t>
      </w:r>
      <w:r>
        <w:rPr>
          <w:strike/>
        </w:rPr>
        <w:t xml:space="preserve">;</w:t>
      </w:r>
      <w:r>
        <w:t>))</w:t>
      </w:r>
      <w:r>
        <w:rPr/>
        <w:t xml:space="preserve"> or </w:t>
      </w:r>
      <w:r>
        <w:t>((</w:t>
      </w:r>
      <w:r>
        <w:rPr>
          <w:strike/>
        </w:rPr>
        <w:t xml:space="preserve">(B)</w:t>
      </w:r>
      <w:r>
        <w:t>))</w:t>
      </w:r>
      <w:r>
        <w:rPr/>
        <w:t xml:space="preserve">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w:t>
      </w:r>
      <w:r>
        <w:t>((</w:t>
      </w:r>
      <w:r>
        <w:rPr>
          <w:strike/>
        </w:rPr>
        <w:t xml:space="preserve">shall</w:t>
      </w:r>
      <w:r>
        <w:t>))</w:t>
      </w:r>
      <w:r>
        <w:rPr/>
        <w:t xml:space="preserve"> require</w:t>
      </w:r>
      <w:r>
        <w:rPr>
          <w:u w:val="single"/>
        </w:rPr>
        <w:t xml:space="preserve">s</w:t>
      </w:r>
      <w:r>
        <w:rPr/>
        <w:t xml:space="preserve"> evidence that the guardian already possesses the requisite knowledge to serve as a guardian without completing the training. When determining whether there is good cause to waive the training requirement, the court </w:t>
      </w:r>
      <w:r>
        <w:t>((</w:t>
      </w:r>
      <w:r>
        <w:rPr>
          <w:strike/>
        </w:rPr>
        <w:t xml:space="preserve">shall</w:t>
      </w:r>
      <w:r>
        <w:t>))</w:t>
      </w:r>
      <w:r>
        <w:rPr/>
        <w:t xml:space="preserve"> </w:t>
      </w:r>
      <w:r>
        <w:rPr>
          <w:u w:val="single"/>
        </w:rPr>
        <w:t xml:space="preserve">must</w:t>
      </w:r>
      <w:r>
        <w:rPr/>
        <w:t xml:space="preserve">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t>((</w:t>
      </w:r>
      <w:r>
        <w:rPr>
          <w:strike/>
        </w:rPr>
        <w:t xml:space="preserve">(4)</w:t>
      </w:r>
      <w:r>
        <w:t>))</w:t>
      </w:r>
      <w:r>
        <w:rPr/>
        <w:t xml:space="preserve"> </w:t>
      </w:r>
      <w:r>
        <w:rPr>
          <w:u w:val="single"/>
        </w:rPr>
        <w:t xml:space="preserve">(d) To inform any person entitled to special notice of proceedings under RCW 11.92.150 and any other person designated by the incapacitated person as soon as possible, but in no case more than five business days, after the incapacitated person:</w:t>
      </w:r>
    </w:p>
    <w:p>
      <w:pPr>
        <w:spacing w:before="0" w:after="0" w:line="408" w:lineRule="exact"/>
        <w:ind w:left="0" w:right="0" w:firstLine="576"/>
        <w:jc w:val="left"/>
      </w:pPr>
      <w:r>
        <w:rPr>
          <w:u w:val="single"/>
        </w:rPr>
        <w:t xml:space="preserve">(i) Makes a change in residence that is intended or likely to last more than fourteen calendar days;</w:t>
      </w:r>
    </w:p>
    <w:p>
      <w:pPr>
        <w:spacing w:before="0" w:after="0" w:line="408" w:lineRule="exact"/>
        <w:ind w:left="0" w:right="0" w:firstLine="576"/>
        <w:jc w:val="left"/>
      </w:pPr>
      <w:r>
        <w:rPr>
          <w:u w:val="single"/>
        </w:rPr>
        <w:t xml:space="preserve">(ii) Has been admitted to a medical facility for acute care in response to a life-threatening injury or medical condition that requires inpatient care;</w:t>
      </w:r>
    </w:p>
    <w:p>
      <w:pPr>
        <w:spacing w:before="0" w:after="0" w:line="408" w:lineRule="exact"/>
        <w:ind w:left="0" w:right="0" w:firstLine="576"/>
        <w:jc w:val="left"/>
      </w:pPr>
      <w:r>
        <w:rPr>
          <w:u w:val="single"/>
        </w:rPr>
        <w:t xml:space="preserve">(iii) Has been treated in an emergency room setting or kept for hospital observation for more than twenty-four hours; or</w:t>
      </w:r>
    </w:p>
    <w:p>
      <w:pPr>
        <w:spacing w:before="0" w:after="0" w:line="408" w:lineRule="exact"/>
        <w:ind w:left="0" w:right="0" w:firstLine="576"/>
        <w:jc w:val="left"/>
      </w:pPr>
      <w:r>
        <w:rPr>
          <w:u w:val="single"/>
        </w:rPr>
        <w:t xml:space="preserve">(iv) Dies, in which case the notification must be made in person, by telephone, or by certified mail.</w:t>
      </w:r>
    </w:p>
    <w:p>
      <w:pPr>
        <w:spacing w:before="0" w:after="0" w:line="408" w:lineRule="exact"/>
        <w:ind w:left="0" w:right="0" w:firstLine="576"/>
        <w:jc w:val="left"/>
      </w:pPr>
      <w:r>
        <w:rPr>
          <w:u w:val="single"/>
        </w:rPr>
        <w:t xml:space="preserve">(e)</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(f)</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w:t>
      </w:r>
      <w:r>
        <w:t>((</w:t>
      </w:r>
      <w:r>
        <w:rPr>
          <w:strike/>
        </w:rPr>
        <w:t xml:space="preserve">shall</w:t>
      </w:r>
      <w:r>
        <w:t>))</w:t>
      </w:r>
      <w:r>
        <w:rPr/>
        <w:t xml:space="preserve"> </w:t>
      </w:r>
      <w:r>
        <w:rPr>
          <w:u w:val="single"/>
        </w:rPr>
        <w:t xml:space="preserve">may</w:t>
      </w:r>
      <w:r>
        <w:rPr/>
        <w:t xml:space="preserve"> be construed to allow a guardian, limited guardian, or standby guardian to consent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Therapy or other procedure which induces convulsion;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Surgery solely for the purpose of psychosurgery;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Other psychiatric or mental health procedures that restrict physical freedom of movement, or the rights set forth in RCW 71.05.217.</w:t>
      </w:r>
    </w:p>
    <w:p>
      <w:pPr>
        <w:spacing w:before="0" w:after="0" w:line="408" w:lineRule="exact"/>
        <w:ind w:left="0" w:right="0" w:firstLine="576"/>
        <w:jc w:val="left"/>
      </w:pPr>
      <w:r>
        <w:rPr>
          <w:u w:val="single"/>
        </w:rPr>
        <w:t xml:space="preserve">(2)</w:t>
      </w:r>
      <w:r>
        <w:rPr/>
        <w:t xml:space="preserve"> 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public guardianship, in partnership with the office of the state long-term care ombuds, must develop and offer training targeted to the legal community and persons working in long-term care facilities regarding the different kinds of decision-making authority, including guardianship, authority granted under power of attorney, and surrogate health care decision-making authority. The training must include, at a minimum, information regarding: The roles, duties, and responsibilities of different kinds of decision makers; the scope of authority and limitations on authority with respect to different kinds of decision makers; and any relevant remedial measures provided in law for activity that exceeds the scope of decision-making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12,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aa082969c73842d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3e4fc59ffb4da2" /><Relationship Type="http://schemas.openxmlformats.org/officeDocument/2006/relationships/footer" Target="/word/footer.xml" Id="Raa082969c73842dd" /></Relationships>
</file>