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cbc825acf643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1417</w:t>
      </w:r>
    </w:p>
    <w:p>
      <w:pPr>
        <w:jc w:val="center"/>
        <w:spacing w:before="480" w:after="0" w:line="240"/>
      </w:pPr>
      <w:r>
        <w:t xml:space="preserve">Chapter </w:t>
      </w:r>
      <w:r>
        <w:rPr/>
        <w:t xml:space="preserve">137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OPEN PUBLIC MEETINGS ACT--EXECUTIVE SESSIONS--INFORMATION TECHNOLOGY SECURITY</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1417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10:45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1417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Hudgins and Smith)</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harmonization of the open public meetings act with the public records act in relation to information technology security matters; and amending RCW 42.30.110.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2014 c 174 s 4 are each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w:t>
      </w:r>
      <w:r>
        <w:rPr>
          <w:u w:val="single"/>
        </w:rPr>
        <w:t xml:space="preserve">(i)</w:t>
      </w:r>
      <w:r>
        <w:rPr/>
        <w:t xml:space="preserve"> To consider matters affecting national security;</w:t>
      </w:r>
    </w:p>
    <w:p>
      <w:pPr>
        <w:spacing w:before="0" w:after="0" w:line="408" w:lineRule="exact"/>
        <w:ind w:left="0" w:right="0" w:firstLine="576"/>
        <w:jc w:val="left"/>
      </w:pPr>
      <w:r>
        <w:rPr>
          <w:u w:val="single"/>
        </w:rPr>
        <w:t xml:space="preserve">(ii) To consider, if in compliance with any required data security breach disclosure under RCW 19.255.010 and 42.56.590, and with legal counsel available,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2017.</w:t>
      </w:r>
    </w:p>
    <w:p>
      <w:pPr>
        <w:spacing w:before="0" w:after="0" w:line="408" w:lineRule="exact"/>
        <w:ind w:left="0" w:right="0" w:firstLine="576"/>
        <w:jc w:val="left"/>
      </w:pPr>
      <w:r>
        <w:rPr/>
        <w:t xml:space="preserve">Passed by the Senate April 10,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9c09769566fe4d6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318e53788d4a1a" /><Relationship Type="http://schemas.openxmlformats.org/officeDocument/2006/relationships/footer" Target="/word/footer.xml" Id="R9c09769566fe4d6e" /></Relationships>
</file>