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aa7bf526d49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1439</w:t>
      </w:r>
    </w:p>
    <w:p>
      <w:pPr>
        <w:jc w:val="center"/>
        <w:spacing w:before="480" w:after="0" w:line="240"/>
      </w:pPr>
      <w:r>
        <w:t xml:space="preserve">Chapter </w:t>
      </w:r>
      <w:r>
        <w:rPr/>
        <w:t xml:space="preserve">203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HIGHER EDUCATION--UNFAIR BUSINESS PRACTICES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3:24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Pollet, Haler, Tarleton, Fey, Sells, Orwall, Ryu, Stanford, and Dolan)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28A.85.090, 28C.10.050, 28C.10.110, and 28C.10.130; reenacting and amending RCW 43.84.092; adding new sections to chapter 28B.85 RCW; adding new sections to chapter 18.16 RCW; adding a new section to chapter 28B.77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followed by facilitated discussions amongst agencies and stakeholders that resulted in a second report issued in 2017. This act incorporates some of the findings and recommendations from the first phase of the report, including the benefits of ensuring that recruitment advertising and materials are consistent with state and federal verified data. In addition, this act incorporates findings regarding the need for a single student complaint portal and for agencies to have timely access to trust funds for tuition recovery and other methods of responding when schools close. This act also authorizes the second part of the study, as recommended by the center, that will include discussions of agency jurisdiction and consistency and how to improve the agencies' abilities to respond to school closures.</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up to seventy-five thousand dollars,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 The study must also contain recommendations on strengthening agencies' abilities to respond to, and protect student consumers from, school closures. Recommendations on agency responses include the use of trust funds and surety bonds for tuition recovery and other related losses.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4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section 5(1)(b) of this act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Present data about its completion rates, employment rates, loan or indebtedness metrics, or its graduates' median hourly and annual earnings, the posted data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r>
        <w:rPr>
          <w:u w:val="single"/>
        </w:rPr>
        <w:t xml:space="preserve">; and</w:t>
      </w:r>
    </w:p>
    <w:p>
      <w:pPr>
        <w:spacing w:before="0" w:after="0" w:line="408" w:lineRule="exact"/>
        <w:ind w:left="0" w:right="0" w:firstLine="576"/>
        <w:jc w:val="left"/>
      </w:pPr>
      <w:r>
        <w:rPr>
          <w:u w:val="single"/>
        </w:rPr>
        <w:t xml:space="preserve">(k)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u w:val="single"/>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u w:val="single"/>
        </w:rPr>
        <w:t xml:space="preserve">(ii) Any state or federal attorney general's office or department of justice;</w:t>
      </w:r>
    </w:p>
    <w:p>
      <w:pPr>
        <w:spacing w:before="0" w:after="0" w:line="408" w:lineRule="exact"/>
        <w:ind w:left="0" w:right="0" w:firstLine="576"/>
        <w:jc w:val="left"/>
      </w:pPr>
      <w:r>
        <w:rPr>
          <w:u w:val="single"/>
        </w:rPr>
        <w:t xml:space="preserve">(iii) Any regulator that approves the operation of the private vocational school;</w:t>
      </w:r>
    </w:p>
    <w:p>
      <w:pPr>
        <w:spacing w:before="0" w:after="0" w:line="408" w:lineRule="exact"/>
        <w:ind w:left="0" w:right="0" w:firstLine="576"/>
        <w:jc w:val="left"/>
      </w:pPr>
      <w:r>
        <w:rPr>
          <w:u w:val="single"/>
        </w:rPr>
        <w:t xml:space="preserve">(iv) The federal consumer financial protection bureau or the federal securities and exchange commission; and</w:t>
      </w:r>
    </w:p>
    <w:p>
      <w:pPr>
        <w:spacing w:before="0" w:after="0" w:line="408" w:lineRule="exact"/>
        <w:ind w:left="0" w:right="0" w:firstLine="576"/>
        <w:jc w:val="left"/>
      </w:pPr>
      <w:r>
        <w:rPr>
          <w:u w:val="single"/>
        </w:rPr>
        <w:t xml:space="preserve">(v) Any accrediting agency</w:t>
      </w:r>
      <w:r>
        <w:rPr/>
        <w:t xml:space="preserve">.</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 or</w:t>
      </w:r>
    </w:p>
    <w:p>
      <w:pPr>
        <w:spacing w:before="0" w:after="0" w:line="408" w:lineRule="exact"/>
        <w:ind w:left="0" w:right="0" w:firstLine="576"/>
        <w:jc w:val="left"/>
      </w:pPr>
      <w:r>
        <w:rPr>
          <w:u w:val="single"/>
        </w:rPr>
        <w:t xml:space="preserve">(n)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director shall establish, maintain, and administer a department of licensing tuition recovery trust fund created in section 10 of this act.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of licensing tuition recovery trust fund is created in the custody of the state treasurer. All receipts from each school owner under section 9 of this act must be deposited into the fund. Expenditures from the fund may be used only for the purposes in section 9 of this act. Only the director or the director's designee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council shall establish, maintain, and administer a student achievement council tuition recovery trust fund created in section 12 of this act.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t xml:space="preserve">(2)(a) The council may impose a fee structure, set forth in rule, on schools licensed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in the event of a school closure. The council shall adopt schedules of times and amounts for effecting payments of fees. To reach the amount determined, the council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school commences on the date of the initial deposit into the student achievement council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owners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The student achievement council tuition recovery trust fund is created in the custody of the state treasurer. All receipts from fees imposed on schools licensed under this chapter and section 11 of this act must be deposited into the fund. Expenditures from the fund may be used only for the purposes in section 11 of this act. Only the council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rPr>
          <w:u w:val="single"/>
        </w:rPr>
        <w:t xml:space="preserve">the department of licensing tuition recovery trust fund,</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student achievement council tuition recovery trust fund,</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37735dfaca7249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4899899354d36" /><Relationship Type="http://schemas.openxmlformats.org/officeDocument/2006/relationships/footer" Target="/word/footer.xml" Id="R37735dfaca7249e7" /></Relationships>
</file>