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cfd13ff8f54c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1477</w:t>
      </w:r>
    </w:p>
    <w:p>
      <w:pPr>
        <w:jc w:val="center"/>
        <w:spacing w:before="480" w:after="0" w:line="240"/>
      </w:pPr>
      <w:r>
        <w:t xml:space="preserve">Chapter </w:t>
      </w:r>
      <w:r>
        <w:rPr/>
        <w:t xml:space="preserve">298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HEALTH INFORMATION DISCLOSURE--PERSONS WITH CLOSE RELATIONSHIP--THREATS</w:t>
      </w:r>
    </w:p>
    <w:p>
      <w:pPr>
        <w:spacing w:before="720" w:after="240" w:line="240" w:lineRule="exact"/>
        <w:ind w:left="0" w:right="0" w:firstLine="576"/>
        <w:jc w:val="left"/>
      </w:pPr>
      <w:r>
        <w:t xml:space="preserve">EFFECTIVE DATE: </w:t>
      </w:r>
      <w:r>
        <w:rPr/>
        <w:t xml:space="preserve">7/23/2017 -- Except for section 6, which becomes effective 4/1/2018.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74</w:t>
            </w:r>
            <w:r>
              <w:t xml:space="preserve">  Nays </w:t>
              <w:t xml:space="preserve">22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10:27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Kilduff, Muri, Lytton, Stambaugh, Orwall, McDonald, Robinson, Lovick, Goodman, Sells, Appleton,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health-related information with persons with a close relationship with a patient; amending RCW 70.02.050, 70.02.200, 70.02.220, and 70.02.230; reenacting and amending RCW 70.02.230; adding a new section to chapter 70.02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and, if so, disclose only the health care information that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w:t>
      </w:r>
      <w:r>
        <w:t>((</w:t>
      </w:r>
      <w:r>
        <w:rPr>
          <w:strike/>
        </w:rPr>
        <w:t xml:space="preserve">reasonably</w:t>
      </w:r>
      <w:r>
        <w:t>))</w:t>
      </w:r>
      <w:r>
        <w:rPr/>
        <w:t xml:space="preserve"> believes</w:t>
      </w:r>
      <w:r>
        <w:rPr>
          <w:u w:val="single"/>
        </w:rPr>
        <w:t xml:space="preserve">, in good faith,</w:t>
      </w:r>
      <w:r>
        <w:rPr/>
        <w:t xml:space="preserve"> that </w:t>
      </w:r>
      <w:r>
        <w:rPr>
          <w:u w:val="single"/>
        </w:rPr>
        <w:t xml:space="preserve">use or</w:t>
      </w:r>
      <w:r>
        <w:rPr/>
        <w:t xml:space="preserve"> disclosure </w:t>
      </w:r>
      <w:r>
        <w:t>((</w:t>
      </w:r>
      <w:r>
        <w:rPr>
          <w:strike/>
        </w:rPr>
        <w:t xml:space="preserve">will avoid or minimize an imminent danger</w:t>
      </w:r>
      <w:r>
        <w:t>))</w:t>
      </w:r>
      <w:r>
        <w:rPr/>
        <w:t xml:space="preserve"> </w:t>
      </w:r>
      <w:r>
        <w:rPr>
          <w:u w:val="single"/>
        </w:rPr>
        <w:t xml:space="preserve">is necessary to prevent or lessen a serious and imminent threat</w:t>
      </w:r>
      <w:r>
        <w:rPr/>
        <w:t xml:space="preserve"> to the health or safety of </w:t>
      </w:r>
      <w:r>
        <w:t>((</w:t>
      </w:r>
      <w:r>
        <w:rPr>
          <w:strike/>
        </w:rPr>
        <w:t xml:space="preserve">the patient or any other individual, however</w:t>
      </w:r>
      <w:r>
        <w:t>))</w:t>
      </w:r>
      <w:r>
        <w:rPr/>
        <w:t xml:space="preserve"> </w:t>
      </w:r>
      <w:r>
        <w:rPr>
          <w:u w:val="single"/>
        </w:rPr>
        <w:t xml:space="preserve">a person or the public, and the information is disclosed only to a person or persons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w:t>
      </w:r>
      <w:r>
        <w:t>))</w:t>
      </w:r>
      <w:r>
        <w:rPr/>
        <w:t xml:space="preserv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w:t>
      </w:r>
      <w:r>
        <w:t>((</w:t>
      </w:r>
      <w:r>
        <w:rPr>
          <w:strike/>
        </w:rPr>
        <w:t xml:space="preserve">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r>
        <w:t>))</w:t>
      </w:r>
      <w:r>
        <w:rPr/>
        <w:t xml:space="preserve"> </w:t>
      </w:r>
      <w:r>
        <w:rPr>
          <w:u w:val="single"/>
        </w:rPr>
        <w:t xml:space="preserve">Persons under section 1 of this act if the conditions in section 1 of this act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w:t>
      </w:r>
      <w:r>
        <w:rPr>
          <w:u w:val="single"/>
        </w:rPr>
        <w:t xml:space="preserve">section 1 of this act,</w:t>
      </w:r>
      <w:r>
        <w:rPr/>
        <w:t xml:space="preserve">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social and health services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social and health services or a licensed child placing agency. This information may also be received by a person responsible for providing residential care for such a child when the department of social and health services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12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684c9619de07440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ee50eef7be4394" /><Relationship Type="http://schemas.openxmlformats.org/officeDocument/2006/relationships/footer" Target="/word/footer.xml" Id="R684c9619de074406" /></Relationships>
</file>